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12F66" w:rsidRPr="002031A3" w:rsidP="00B12F66" w14:paraId="2EAEF86A" w14:textId="77777777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>Disgrifiad Swydd:</w:t>
      </w:r>
      <w:r w:rsidRPr="002031A3">
        <w:rPr>
          <w:rFonts w:ascii="Calibri" w:hAnsi="Calibri" w:cstheme="minorHAnsi"/>
          <w:b w:val="0"/>
          <w:u w:val="none"/>
          <w:rtl w:val="0"/>
          <w:lang w:val="cy-GB"/>
        </w:rPr>
        <w:t xml:space="preserve"> </w:t>
      </w: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>Swyddog Ymchwil</w:t>
      </w:r>
    </w:p>
    <w:p w:rsidR="00B12F66" w:rsidRPr="002031A3" w:rsidP="00B12F66" w14:paraId="097CC284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BEB591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A76488" w:rsidRPr="002031A3" w:rsidP="00A76488" w14:paraId="123F0AC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A76488" w:rsidRPr="00303B5D" w:rsidP="00A76488" w14:paraId="178D89C7" w14:textId="03846B4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303B5D">
              <w:rPr>
                <w:rFonts w:ascii="Calibri" w:hAnsi="Calibri" w:cstheme="minorHAnsi"/>
                <w:b/>
                <w:bCs/>
                <w:rtl w:val="0"/>
                <w:lang w:val="cy-GB"/>
              </w:rPr>
              <w:t>Iechyd a Gofal Cymdeithasol</w:t>
            </w:r>
          </w:p>
        </w:tc>
      </w:tr>
      <w:tr w14:paraId="567E702D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A76488" w:rsidRPr="002031A3" w:rsidP="00A76488" w14:paraId="7EC5408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A76488" w:rsidRPr="00303B5D" w:rsidP="00A76488" w14:paraId="7049B3AA" w14:textId="4702294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303B5D">
              <w:rPr>
                <w:rFonts w:ascii="Calibri" w:hAnsi="Calibri" w:cstheme="minorHAnsi"/>
                <w:b/>
                <w:bCs/>
                <w:rtl w:val="0"/>
                <w:lang w:val="cy-GB"/>
              </w:rPr>
              <w:t>Iechyd y Cyhoedd</w:t>
            </w:r>
          </w:p>
        </w:tc>
      </w:tr>
      <w:tr w14:paraId="39A82CE0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4BA24C1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B12F66" w:rsidRPr="00303B5D" w:rsidP="0035061A" w14:paraId="2C4DA463" w14:textId="4F8D7149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Cs/>
              </w:rPr>
            </w:pPr>
            <w:r w:rsidRPr="00303B5D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 xml:space="preserve">Gradd 8: </w:t>
            </w:r>
            <w:r w:rsidRPr="00303B5D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£38,205 i £44,263 y flwyddyn, ynghyd â buddion pensiwn USS</w:t>
            </w:r>
          </w:p>
        </w:tc>
      </w:tr>
      <w:tr w14:paraId="0501A09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03CE6F1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B12F66" w:rsidRPr="00303B5D" w:rsidP="0035061A" w14:paraId="21884D13" w14:textId="1CA0F1C4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Cs/>
              </w:rPr>
            </w:pPr>
            <w:r w:rsidRPr="00303B5D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 xml:space="preserve">Amser llawn, 35 awr yr wythnos </w:t>
            </w:r>
          </w:p>
        </w:tc>
      </w:tr>
      <w:tr w14:paraId="47915819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A7A1CF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B12F66" w:rsidRPr="00303B5D" w:rsidP="0035061A" w14:paraId="29B6095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Cs/>
              </w:rPr>
            </w:pPr>
            <w:r w:rsidRPr="00303B5D">
              <w:rPr>
                <w:rFonts w:ascii="Calibri" w:hAnsi="Calibri" w:cstheme="minorHAnsi"/>
                <w:b/>
                <w:bCs/>
                <w:iCs/>
                <w:rtl w:val="0"/>
                <w:lang w:val="cy-GB"/>
              </w:rPr>
              <w:t>1</w:t>
            </w:r>
          </w:p>
        </w:tc>
      </w:tr>
      <w:tr w14:paraId="032956CA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DED9CD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</w:t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tract:</w:t>
            </w:r>
          </w:p>
        </w:tc>
        <w:tc>
          <w:tcPr>
            <w:tcW w:w="8364" w:type="dxa"/>
          </w:tcPr>
          <w:p w:rsidR="00B12F66" w:rsidRPr="00A76488" w:rsidP="0035061A" w14:paraId="0FA68AD9" w14:textId="3FA791BE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A76488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Penodiad am gyfnod penodol yw hwn tan </w:t>
            </w:r>
            <w:r w:rsidRPr="00A76488">
              <w:rPr>
                <w:rFonts w:ascii="Calibri" w:hAnsi="Calibri" w:cstheme="minorHAnsi"/>
                <w:b w:val="0"/>
                <w:rtl w:val="0"/>
                <w:lang w:val="cy-GB"/>
              </w:rPr>
              <w:t>31/08/2025</w:t>
            </w:r>
          </w:p>
        </w:tc>
      </w:tr>
      <w:tr w14:paraId="3CA4149E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63F3407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B12F66" w:rsidRPr="00A76488" w:rsidP="0035061A" w14:paraId="05FC570C" w14:textId="093AC47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A76488">
              <w:rPr>
                <w:rFonts w:ascii="Calibri" w:hAnsi="Calibri" w:cstheme="minorHAnsi"/>
                <w:b/>
                <w:bCs/>
                <w:rtl w:val="0"/>
                <w:lang w:val="cy-GB"/>
              </w:rPr>
              <w:t>Lleolir y swydd hon ar Gampws Parc Singleton</w:t>
            </w:r>
          </w:p>
        </w:tc>
      </w:tr>
    </w:tbl>
    <w:p w:rsidR="00B12F66" w:rsidRPr="002031A3" w:rsidP="00B12F66" w14:paraId="7DB7C025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872"/>
        <w:gridCol w:w="9044"/>
      </w:tblGrid>
      <w:tr w14:paraId="70F8399A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4EFCF119" w14:textId="18CDE031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</w:tc>
        <w:tc>
          <w:tcPr>
            <w:tcW w:w="9044" w:type="dxa"/>
          </w:tcPr>
          <w:p w:rsidR="00B12F66" w:rsidRPr="002031A3" w:rsidP="0035061A" w14:paraId="58BA3D86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(Rhestrwch gyfrifoldebau penodol y Gyfadran/yr Adran)</w:t>
            </w:r>
          </w:p>
          <w:p w:rsidR="00CA1938" w:rsidP="00B12F66" w14:paraId="39125DDD" w14:textId="2F661C5F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Cynnal adolygiad o lenyddiaeth gefndirol i effaith yr argyfwng costau byw ar rieni, yn benodol mewn perthynas ag iechyd meddwl a bwydo babanod.</w:t>
            </w:r>
          </w:p>
          <w:p w:rsidR="00B12F66" w:rsidRPr="002031A3" w:rsidP="00B12F66" w14:paraId="7BD717AA" w14:textId="6B9F6A1D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Cefnogi dyluniad, casglu data a dadansoddi ymchwil  arolwg gyda rhieni, gweithwyr iechyd proffesiynol a sefydliadau elusennol </w:t>
            </w:r>
          </w:p>
          <w:p w:rsidR="00B12F66" w:rsidRPr="00CA1938" w:rsidP="00CA1938" w14:paraId="5FDB0914" w14:textId="354274E2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Cefnogi dyluniad, darpariaeth a dadansoddi cyfweliadau a gweithdai gyda rhieni, gweithwyr iechyd proffesiynol a sefydliadau elusennol</w:t>
            </w:r>
          </w:p>
        </w:tc>
      </w:tr>
      <w:tr w14:paraId="130F6028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7DC6B404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4" w:type="dxa"/>
          </w:tcPr>
          <w:p w:rsidR="00B12F66" w:rsidRPr="002031A3" w:rsidP="00B12F66" w14:paraId="4AF4ED05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Cyfrannu at ymchwil ac ymgymryd â hi mewn modd rhagweithiol, gan gynnwys casglu, paratoi a dadansoddi data a chyflwyno canlyniadau gan ddangos rhywfaint o annibyniaeth wrth bennu pwyslais a chyfeiriad yr ymchwil honno. </w:t>
            </w:r>
          </w:p>
          <w:p w:rsidR="00B12F66" w:rsidRPr="002031A3" w:rsidP="00B12F66" w14:paraId="3135C47D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Paratoi adroddiadau, drafftio patentau a phapurau sy'n disgrifio canlyniadau'r ymchwil, boed yn gyfrinachol neu i'w cyhoeddi.  Disgwylir i'r sawl a benodir cymryd rhan weithredol yn y gwaith o ysgrifennu a chyhoeddi papurau ymchwil, yn enwedig rhai sydd i'w cyhoeddi mewn cyfnodolion a adolygir gan gymheiriaid (e.e. rhyngwladol) neu gyhoeddiadau cymharol, yn rhan arferol o'i rôl.  </w:t>
            </w:r>
          </w:p>
          <w:p w:rsidR="00B12F66" w:rsidRPr="002031A3" w:rsidP="00B12F66" w14:paraId="76BFC9EC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Bod yn hunangymhellol a defnyddio menter bersonol, gan geisio dod o hyd i ffyrdd addas o ymdrin â heriau a gofyn am arweiniad pan fo angen. </w:t>
            </w:r>
          </w:p>
          <w:p w:rsidR="00B12F66" w:rsidRPr="002031A3" w:rsidP="00B12F66" w14:paraId="36B24CC2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Defnyddio creadigrwydd i ddadansoddi a dehongli data ymchwil a dod i gasgliadau ar sail y canlyniadau.</w:t>
            </w:r>
          </w:p>
          <w:p w:rsidR="00B12F66" w:rsidRPr="002031A3" w:rsidP="00B12F66" w14:paraId="71378936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Rhyngweithio'n gadarnhaol ac yn broffesiynol â chydweithredwyr a phartneriaid eraill yn y Gyfadran, mewn mannau eraill yn y Brifysgol, a'r tu hwnt ym myd diwydiant a masnach ac yn y byd academaidd.</w:t>
            </w:r>
          </w:p>
          <w:p w:rsidR="00B12F66" w:rsidRPr="002031A3" w:rsidP="00B12F66" w14:paraId="7A97DB8B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Cyfrannu'n rhagweithiol at y gwaith o ddatblygu ceisiadau am gyllid allanol i gefnogi eich gwaith eich hun, gwaith eraill a gwaith y Gyfadran a'r sefydliad yn gyffredinol.  Disgwylir i'r sawl a benodir gymryd rhan weithredol yn y gwaith o ysgrifennu, neu gyfrannu at ysgrifennu ceisiadau o'r fath yn rhan arferol o'i waith.</w:t>
            </w:r>
          </w:p>
          <w:p w:rsidR="00B12F66" w:rsidRPr="002031A3" w:rsidP="00B12F66" w14:paraId="2ECE5850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 at faterion trefniadol y Gyfadran i'w helpu i weithredu'n hwylus a helpu i godi ei phroffil ymchwil allanol.</w:t>
            </w:r>
          </w:p>
          <w:p w:rsidR="00B12F66" w:rsidRPr="002031A3" w:rsidP="00B12F66" w14:paraId="3D1EAF6F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Bod yn ymwybodol o ddatblygiadau yn y maes o safbwynt technegol a phenodol a'r maes pwnc ehangach a'r goblygiadau ar gyfer cymwysiadau masnachol a'r economi wybodaeth neu'r byd academaidd. </w:t>
            </w:r>
          </w:p>
          <w:p w:rsidR="00B12F66" w:rsidRPr="002031A3" w:rsidP="00B12F66" w14:paraId="5D3CFBE8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Gweithredu fel cynrychiolydd neu aelod o bwyllgorau pan fo angen gan ddefnyddio'r cyfle i ehangu ei brofiad proffesiynol.</w:t>
            </w:r>
          </w:p>
          <w:p w:rsidR="00B12F66" w:rsidRPr="002031A3" w:rsidP="00B12F66" w14:paraId="0798D12C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Dangos eich datblygiad proffesiynol eich hun gan ddarparu tystiolaeth, nodi anghenion datblygu, gan gyfeirio at Fframwaith Datblygu Ymchwilwyr Vitae, yn enwedig o ran cyfnod prawf, adolygiadau perfformiad, a chymryd rhan mewn digwyddiadau hyfforddi.</w:t>
            </w:r>
          </w:p>
          <w:p w:rsidR="00B12F66" w:rsidRPr="002031A3" w:rsidP="00B12F66" w14:paraId="0C9D28F4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Cynnal a gwella cysylltiadau â'r sefydliadau proffesiynol a chyrff perthynol eraill.</w:t>
            </w:r>
          </w:p>
          <w:p w:rsidR="00B12F66" w:rsidRPr="002031A3" w:rsidP="00B12F66" w14:paraId="0438D350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Ufuddhau i brotocolau arfer gorau wrth gynnal a chadw cofnodion ymchwil, fel y nodir gan ganllawiau rheoli cofnodion HEI a'r Cynghorau Ymchwil. Mae hyn yn cynnwys gwneud yn siŵr bod cofnodion llyfrau log prosiectau yn cael eu cyflwyno i'r Brifysgol/Prif Ymchwilydd ar ôl gorffen y gwaith.</w:t>
            </w:r>
          </w:p>
        </w:tc>
      </w:tr>
      <w:tr w14:paraId="3C77068F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4FE8ABE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044" w:type="dxa"/>
          </w:tcPr>
          <w:p w:rsidR="00B12F66" w:rsidRPr="002031A3" w:rsidP="00B12F66" w14:paraId="2C18BBA7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B12F66" w:rsidRPr="002031A3" w:rsidP="00B12F66" w14:paraId="4BE3C89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B12F66" w:rsidRPr="002031A3" w:rsidP="00B12F66" w14:paraId="7C940BCB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B12F66" w:rsidRPr="002031A3" w:rsidP="00B12F66" w14:paraId="56956601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</w:tc>
      </w:tr>
      <w:tr w14:paraId="60A77A78" w14:textId="77777777" w:rsidTr="00FA7238">
        <w:tblPrEx>
          <w:tblW w:w="10916" w:type="dxa"/>
          <w:tblInd w:w="-176" w:type="dxa"/>
          <w:tblLayout w:type="fixed"/>
          <w:tblLook w:val="04A0"/>
        </w:tblPrEx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3D437FC1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B12F66" w:rsidRPr="002031A3" w:rsidP="0035061A" w14:paraId="6188E6DA" w14:textId="77777777">
            <w:pPr>
              <w:bidi w:val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44" w:type="dxa"/>
          </w:tcPr>
          <w:p w:rsidR="00B12F66" w:rsidRPr="002031A3" w:rsidP="0035061A" w14:paraId="5C0D2DEF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Hanfodol:</w:t>
            </w:r>
            <w:r w:rsidRPr="002031A3">
              <w:rPr>
                <w:rFonts w:ascii="Calibri" w:hAnsi="Calibri" w:cstheme="minorHAnsi"/>
                <w:b w:val="0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B12F66" w:rsidRPr="00A76488" w:rsidP="00B12F66" w14:paraId="00A80384" w14:textId="37CAD97F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48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Gradd yn y gwyddorau iechyd, iechyd y cyhoedd, seicoleg iechyd, cymdeithaseg, polisi cymdeithasol, neu faes perthnasol neu gyfwerth arall neu gymhwyster ôl-raddedig yn y pynciau hyn neu gyfwerth </w:t>
            </w:r>
          </w:p>
          <w:p w:rsidR="00B12F66" w:rsidRPr="00A76488" w:rsidP="00B12F66" w14:paraId="489BA2B0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48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 gyfranogiad gweithredol a rôl bersonol yn y gwaith o ysgrifennu a chyhoeddi papurau ymchwil, a chyfrannu at y gwaith hwn, yn enwedig ar gyfer cyfnodolion a adolygir gan gymheiriaid. </w:t>
            </w:r>
          </w:p>
          <w:p w:rsidR="00B12F66" w:rsidRPr="00A76488" w:rsidP="00B12F66" w14:paraId="15BD1B93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48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o'r gallu i ymgysylltu â'r gwaith o lunio ac ysgrifennu gwaith ymchwil, neu gyfrannu at ysgrifennu ceisiadau am arian ymchwil allanol. </w:t>
            </w:r>
          </w:p>
          <w:p w:rsidR="00B12F66" w:rsidRPr="00A76488" w:rsidP="00B12F66" w14:paraId="12D788F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48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 gallu i ddangos annibyniaeth sylweddol o ran ffocws a chyfeiriad mewn ymchwil – penderfynu 'beth, pam, pryd a chyda phwy' i fwrw ymlaen â'r gwaith. </w:t>
            </w:r>
          </w:p>
          <w:p w:rsidR="00A76488" w:rsidRPr="00A76488" w:rsidP="00A76488" w14:paraId="3684A0D3" w14:textId="7ADE48BE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Deall y polisi bwydo babanod a'r dirwedd ymarfer gan gynnwys cymhlethdod ac effaith emosiynol penderfyniadau bwydo babanod</w:t>
            </w:r>
          </w:p>
          <w:p w:rsidR="00A76488" w:rsidRPr="00A76488" w:rsidP="00A76488" w14:paraId="191A8E27" w14:textId="6B13338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Dangos ymwybyddiaeth a sensitifrwydd o ran yr argyfwng costau byw presennol a sut mae'n effeithio ar deuluoedd â babanod a phlant ifanc </w:t>
            </w:r>
          </w:p>
          <w:p w:rsidR="00A76488" w:rsidRPr="00A76488" w:rsidP="00A76488" w14:paraId="2ACC3D4B" w14:textId="05D4EAF4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7648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o weithio gyda rhieni/teuluoedd mewn capasiti ymchwil, addysgu, clinigol, elusennol neu sefydliadol.</w:t>
            </w:r>
          </w:p>
          <w:p w:rsidR="00A76488" w:rsidRPr="00A76488" w:rsidP="00A76488" w14:paraId="6B8B6A1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7648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Profiad o gasglu a dadansoddi data ansoddol a meintiol </w:t>
            </w:r>
          </w:p>
          <w:p w:rsidR="00A76488" w:rsidRPr="00A76488" w:rsidP="00A76488" w14:paraId="5E7166A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76488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Sgiliau cyfathrebu rhagorol sy’n cynnwys gweithio gydag amrywiaeth o randdeiliaid</w:t>
            </w:r>
          </w:p>
          <w:p w:rsidR="00B12F66" w:rsidRPr="00A76488" w:rsidP="00B12F66" w14:paraId="5A6CF4D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48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Ymrwymiad i ddatblygiad proffesiynol parhaus </w:t>
            </w:r>
          </w:p>
          <w:p w:rsidR="00B12F66" w:rsidRPr="002031A3" w:rsidP="0035061A" w14:paraId="5EC38C73" w14:textId="77777777">
            <w:pPr>
              <w:bidi w:val="0"/>
              <w:spacing w:before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Dymunol</w:t>
            </w:r>
          </w:p>
          <w:p w:rsidR="00A76488" w:rsidRPr="00A76488" w:rsidP="00A76488" w14:paraId="44342731" w14:textId="06201498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76488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PhD yn y gwyddorau iechyd, iechyd y cyhoedd, seicoleg iechyd, cymdeithaseg, polisi cymdeithasol, neu faes perthnasol arall </w:t>
            </w:r>
          </w:p>
          <w:p w:rsidR="00B12F66" w:rsidRPr="002031A3" w:rsidP="00B12F66" w14:paraId="2984A480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Profiad o oruchwylio prosiectau myfyrwyr israddedig neu ôl-raddedig</w:t>
            </w:r>
          </w:p>
        </w:tc>
      </w:tr>
      <w:tr w14:paraId="46D94543" w14:textId="77777777" w:rsidTr="00FA7238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872" w:type="dxa"/>
            <w:shd w:val="clear" w:color="auto" w:fill="242F60"/>
            <w:vAlign w:val="center"/>
          </w:tcPr>
          <w:p w:rsidR="00FA7238" w:rsidRPr="0051342B" w:rsidP="0026370D" w14:paraId="18B1D6F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Welsh language level</w:t>
            </w:r>
          </w:p>
        </w:tc>
        <w:tc>
          <w:tcPr>
            <w:tcW w:w="9044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D53D3888BCC74E0BB12C03F2E0A95CC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FA7238" w:rsidRPr="0051342B" w:rsidP="0026370D" w14:paraId="798FF021" w14:textId="06F5FF49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FA7238" w:rsidRPr="0051342B" w:rsidP="0026370D" w14:paraId="21FC299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7238" w:rsidRPr="0051342B" w:rsidP="0026370D" w14:paraId="61D516D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299A265" w14:textId="77777777" w:rsidTr="00303B5D">
        <w:tblPrEx>
          <w:tblW w:w="10916" w:type="dxa"/>
          <w:tblInd w:w="-176" w:type="dxa"/>
          <w:tblLayout w:type="fixed"/>
          <w:tblLook w:val="04A0"/>
        </w:tblPrEx>
        <w:trPr>
          <w:trHeight w:val="494"/>
        </w:trPr>
        <w:tc>
          <w:tcPr>
            <w:tcW w:w="1872" w:type="dxa"/>
            <w:shd w:val="clear" w:color="auto" w:fill="242F60"/>
            <w:vAlign w:val="center"/>
          </w:tcPr>
          <w:p w:rsidR="00B12F66" w:rsidRPr="002031A3" w:rsidP="0035061A" w14:paraId="141241BC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044" w:type="dxa"/>
          </w:tcPr>
          <w:p w:rsidR="00B12F66" w:rsidRPr="00303B5D" w:rsidP="0035061A" w14:paraId="1B70919B" w14:textId="1BA36202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 xml:space="preserve">Ymholiadau anffurfiol: Yr Athro Amy Brown </w:t>
            </w:r>
            <w:r>
              <w:fldChar w:fldCharType="begin"/>
            </w:r>
            <w:r>
              <w:instrText xml:space="preserve"> HYPERLINK "mailto:a.e.brown@swansea.ac.uk" </w:instrText>
            </w:r>
            <w:r>
              <w:fldChar w:fldCharType="separate"/>
            </w:r>
            <w:r w:rsidRPr="00B81AD6" w:rsidR="00303B5D">
              <w:rPr>
                <w:rStyle w:val="Hyperlink"/>
                <w:rFonts w:cs="Arial"/>
                <w:bCs/>
                <w:szCs w:val="18"/>
                <w:u w:val="single"/>
                <w:rtl w:val="0"/>
                <w:lang w:val="cy-GB"/>
              </w:rPr>
              <w:t>a.e.brown@abertawe.ac.uk</w:t>
            </w:r>
            <w:r>
              <w:fldChar w:fldCharType="end"/>
            </w:r>
          </w:p>
          <w:p w:rsidR="00B12F66" w:rsidRPr="002031A3" w:rsidP="0035061A" w14:paraId="74EB73D5" w14:textId="77777777">
            <w:pPr>
              <w:bidi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12F66" w:rsidRPr="002031A3" w:rsidP="0035061A" w14:paraId="13C18861" w14:textId="264F37DD">
            <w:pPr>
              <w:bidi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12F66" w:rsidRPr="002031A3" w:rsidP="00B12F66" w14:paraId="5AF7B629" w14:textId="77777777">
      <w:pPr>
        <w:bidi w:val="0"/>
        <w:spacing w:before="100" w:beforeAutospacing="1" w:after="100" w:afterAutospacing="1"/>
        <w:ind w:firstLine="720"/>
        <w:rPr>
          <w:rFonts w:asciiTheme="minorHAnsi" w:hAnsiTheme="minorHAnsi" w:cstheme="minorHAnsi"/>
          <w:sz w:val="20"/>
          <w:szCs w:val="20"/>
        </w:rPr>
      </w:pP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278765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45076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17234411" name="Picture 1617234411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52055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559291436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1948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2031A3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53560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63533B4-A854-4597-9B48-2B5B4D3699FF}"/>
    <w:embedBold r:id="rId2" w:subsetted="1" w:fontKey="{A0CB9448-F8CA-4390-B2D1-EA1D749B437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F588D5DA-06AD-41EB-BD3E-BF52A493E8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968430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812BF"/>
    <w:multiLevelType w:val="hybridMultilevel"/>
    <w:tmpl w:val="ED7084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C662C"/>
    <w:rsid w:val="001E09AC"/>
    <w:rsid w:val="001E24A4"/>
    <w:rsid w:val="001E3EE0"/>
    <w:rsid w:val="001F4A68"/>
    <w:rsid w:val="002002A7"/>
    <w:rsid w:val="00200D2E"/>
    <w:rsid w:val="002031A3"/>
    <w:rsid w:val="0021432B"/>
    <w:rsid w:val="00226B22"/>
    <w:rsid w:val="0024575B"/>
    <w:rsid w:val="0025430A"/>
    <w:rsid w:val="00260D92"/>
    <w:rsid w:val="002612C7"/>
    <w:rsid w:val="0026370D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3B5D"/>
    <w:rsid w:val="003070C3"/>
    <w:rsid w:val="00322703"/>
    <w:rsid w:val="00326CBD"/>
    <w:rsid w:val="00330BD9"/>
    <w:rsid w:val="0035061A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560D"/>
    <w:rsid w:val="005367A5"/>
    <w:rsid w:val="005613E7"/>
    <w:rsid w:val="00563F1B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499E"/>
    <w:rsid w:val="00A651AC"/>
    <w:rsid w:val="00A75970"/>
    <w:rsid w:val="00A76488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12F66"/>
    <w:rsid w:val="00B20B6A"/>
    <w:rsid w:val="00B3227B"/>
    <w:rsid w:val="00B53343"/>
    <w:rsid w:val="00B65F5B"/>
    <w:rsid w:val="00B66187"/>
    <w:rsid w:val="00B81AD6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401A1"/>
    <w:rsid w:val="00C4196B"/>
    <w:rsid w:val="00C507B2"/>
    <w:rsid w:val="00C54D91"/>
    <w:rsid w:val="00C81340"/>
    <w:rsid w:val="00C85A09"/>
    <w:rsid w:val="00C92623"/>
    <w:rsid w:val="00C93F2E"/>
    <w:rsid w:val="00C960F5"/>
    <w:rsid w:val="00CA1938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A7238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66"/>
  </w:style>
  <w:style w:type="character" w:customStyle="1" w:styleId="BodyTextChar">
    <w:name w:val="Body Text Char"/>
    <w:basedOn w:val="DefaultParagraphFont"/>
    <w:link w:val="BodyText"/>
    <w:uiPriority w:val="99"/>
    <w:semiHidden/>
    <w:rsid w:val="00B12F66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53D3888BCC74E0BB12C03F2E0A9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5409-BFF8-4997-B4AC-E05E408E4C32}"/>
      </w:docPartPr>
      <w:docPartBody>
        <w:p w:rsidR="001C662C" w:rsidP="001C662C">
          <w:pPr>
            <w:pStyle w:val="D53D3888BCC74E0BB12C03F2E0A95CC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2C"/>
    <w:rsid w:val="001C662C"/>
    <w:rsid w:val="003A6719"/>
    <w:rsid w:val="00C507B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62C"/>
    <w:rPr>
      <w:color w:val="666666"/>
    </w:rPr>
  </w:style>
  <w:style w:type="paragraph" w:customStyle="1" w:styleId="D53D3888BCC74E0BB12C03F2E0A95CC7">
    <w:name w:val="D53D3888BCC74E0BB12C03F2E0A95CC7"/>
    <w:rsid w:val="001C6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2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A0534-44A1-416E-AA94-E4448A0A7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Rhiannon Sindrey</cp:lastModifiedBy>
  <cp:revision>3</cp:revision>
  <cp:lastPrinted>2019-01-11T13:43:00Z</cp:lastPrinted>
  <dcterms:created xsi:type="dcterms:W3CDTF">2024-08-02T10:39:00Z</dcterms:created>
  <dcterms:modified xsi:type="dcterms:W3CDTF">2024-08-06T10:19:00Z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