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A093" w14:textId="77777777" w:rsidR="00045410" w:rsidRPr="00DE0A40" w:rsidRDefault="00DE0A40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A3E1842" wp14:editId="3B358C25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</w:rPr>
        <w:t xml:space="preserve"> </w:t>
      </w:r>
      <w:r w:rsidR="00073847">
        <w:rPr>
          <w:rFonts w:ascii="Arial" w:hAnsi="Arial" w:cs="Arial"/>
          <w:sz w:val="24"/>
          <w:szCs w:val="24"/>
        </w:rPr>
        <w:tab/>
      </w:r>
    </w:p>
    <w:p w14:paraId="37DD1147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6EC9D85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2E63D128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465BBD34" w14:textId="21008677" w:rsidR="00045410" w:rsidRPr="008C0A17" w:rsidRDefault="00B5322D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  <w:lang w:val="en-US" w:eastAsia="ja-JP"/>
        </w:rPr>
      </w:pPr>
      <w:r w:rsidRPr="00233347">
        <w:rPr>
          <w:rFonts w:asciiTheme="minorHAnsi" w:hAnsiTheme="minorHAnsi" w:cs="Arial"/>
          <w:b/>
          <w:sz w:val="32"/>
          <w:szCs w:val="28"/>
          <w:u w:val="single"/>
        </w:rPr>
        <w:t>Job Description</w:t>
      </w:r>
      <w:r w:rsidR="00867CA8" w:rsidRPr="00233347">
        <w:rPr>
          <w:rFonts w:asciiTheme="minorHAnsi" w:hAnsiTheme="minorHAnsi" w:cs="Arial"/>
          <w:b/>
          <w:sz w:val="32"/>
          <w:szCs w:val="28"/>
          <w:u w:val="single"/>
        </w:rPr>
        <w:t xml:space="preserve">: </w:t>
      </w:r>
      <w:r w:rsidR="006A4BC3">
        <w:rPr>
          <w:rFonts w:asciiTheme="minorHAnsi" w:hAnsiTheme="minorHAnsi" w:cs="Arial"/>
          <w:b/>
          <w:sz w:val="32"/>
          <w:szCs w:val="28"/>
          <w:u w:val="single"/>
        </w:rPr>
        <w:t>Research Software Engineer</w:t>
      </w:r>
    </w:p>
    <w:p w14:paraId="48764D48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2D0DDE" w:rsidRPr="00C85711" w14:paraId="6E8DF71C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D7F9161" w14:textId="77777777" w:rsidR="002D0DDE" w:rsidRPr="00C85711" w:rsidRDefault="0068015D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College/</w:t>
            </w:r>
            <w:r w:rsidR="002D0DDE" w:rsidRPr="00C85711"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School:</w:t>
            </w:r>
          </w:p>
        </w:tc>
        <w:tc>
          <w:tcPr>
            <w:tcW w:w="8364" w:type="dxa"/>
          </w:tcPr>
          <w:p w14:paraId="21F9285B" w14:textId="13ACC0A8" w:rsidR="002D0DDE" w:rsidRPr="006A4BC3" w:rsidRDefault="006A4BC3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iCs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szCs w:val="24"/>
              </w:rPr>
              <w:t>Science</w:t>
            </w:r>
          </w:p>
        </w:tc>
      </w:tr>
      <w:tr w:rsidR="0068015D" w:rsidRPr="00C85711" w14:paraId="65851E86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74DD505" w14:textId="77777777" w:rsidR="0068015D" w:rsidRPr="00C85711" w:rsidRDefault="0068015D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Department/Subject:</w:t>
            </w:r>
          </w:p>
        </w:tc>
        <w:tc>
          <w:tcPr>
            <w:tcW w:w="8364" w:type="dxa"/>
          </w:tcPr>
          <w:p w14:paraId="5FF217BA" w14:textId="614110EC" w:rsidR="0068015D" w:rsidRPr="006A4BC3" w:rsidRDefault="006A4BC3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iCs/>
                <w:sz w:val="22"/>
                <w:szCs w:val="24"/>
                <w:highlight w:val="yellow"/>
              </w:rPr>
            </w:pPr>
            <w:r w:rsidRPr="006A4BC3">
              <w:rPr>
                <w:rFonts w:asciiTheme="minorHAnsi" w:hAnsiTheme="minorHAnsi" w:cs="Arial"/>
                <w:b/>
                <w:iCs/>
                <w:sz w:val="22"/>
                <w:szCs w:val="24"/>
              </w:rPr>
              <w:t>Mathematics</w:t>
            </w:r>
          </w:p>
        </w:tc>
      </w:tr>
      <w:tr w:rsidR="00171929" w:rsidRPr="00C85711" w14:paraId="4581F506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EF0E05C" w14:textId="77777777" w:rsidR="00171929" w:rsidRPr="00C85711" w:rsidRDefault="00C87345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Salary:</w:t>
            </w:r>
          </w:p>
        </w:tc>
        <w:tc>
          <w:tcPr>
            <w:tcW w:w="8364" w:type="dxa"/>
          </w:tcPr>
          <w:p w14:paraId="39DBEF8E" w14:textId="62C3DFB0" w:rsidR="00171929" w:rsidRPr="00C85711" w:rsidRDefault="00C87345" w:rsidP="00165350">
            <w:pPr>
              <w:pStyle w:val="BodyTextIndent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C85711">
              <w:rPr>
                <w:rFonts w:asciiTheme="minorHAnsi" w:hAnsiTheme="minorHAnsi" w:cs="Arial"/>
                <w:b/>
                <w:sz w:val="22"/>
                <w:szCs w:val="24"/>
              </w:rPr>
              <w:t>£</w:t>
            </w:r>
            <w:r w:rsidR="00A1520F">
              <w:rPr>
                <w:rFonts w:asciiTheme="minorHAnsi" w:hAnsiTheme="minorHAnsi" w:cstheme="minorHAnsi"/>
                <w:b/>
                <w:sz w:val="22"/>
                <w:szCs w:val="22"/>
              </w:rPr>
              <w:t>39,105</w:t>
            </w:r>
            <w:r w:rsidR="00E87859">
              <w:rPr>
                <w:rFonts w:asciiTheme="minorHAnsi" w:hAnsiTheme="minorHAnsi" w:cstheme="minorHAnsi"/>
                <w:b/>
                <w:sz w:val="22"/>
                <w:szCs w:val="22"/>
              </w:rPr>
              <w:t>–£</w:t>
            </w:r>
            <w:r w:rsidR="00A15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45,163 </w:t>
            </w:r>
            <w:r w:rsidRPr="00C85711">
              <w:rPr>
                <w:rFonts w:asciiTheme="minorHAnsi" w:hAnsiTheme="minorHAnsi" w:cs="Arial"/>
                <w:b/>
                <w:sz w:val="22"/>
                <w:szCs w:val="24"/>
              </w:rPr>
              <w:t xml:space="preserve">per annum together with USS </w:t>
            </w:r>
            <w:r w:rsidR="00C07C24">
              <w:rPr>
                <w:rFonts w:asciiTheme="minorHAnsi" w:hAnsiTheme="minorHAnsi" w:cs="Arial"/>
                <w:b/>
                <w:sz w:val="22"/>
                <w:szCs w:val="24"/>
              </w:rPr>
              <w:t xml:space="preserve">pension </w:t>
            </w:r>
            <w:r w:rsidRPr="00C85711">
              <w:rPr>
                <w:rFonts w:asciiTheme="minorHAnsi" w:hAnsiTheme="minorHAnsi" w:cs="Arial"/>
                <w:b/>
                <w:sz w:val="22"/>
                <w:szCs w:val="24"/>
              </w:rPr>
              <w:t>benefits</w:t>
            </w:r>
          </w:p>
        </w:tc>
      </w:tr>
      <w:tr w:rsidR="00DB3E32" w:rsidRPr="00C85711" w14:paraId="64E5AB59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5A1CA3D" w14:textId="77777777" w:rsidR="00DB3E32" w:rsidRPr="00C85711" w:rsidRDefault="00DB3E32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Hours of work:</w:t>
            </w:r>
          </w:p>
        </w:tc>
        <w:tc>
          <w:tcPr>
            <w:tcW w:w="8364" w:type="dxa"/>
          </w:tcPr>
          <w:p w14:paraId="4AD83E95" w14:textId="44E69612" w:rsidR="00DB3E32" w:rsidRPr="006A4BC3" w:rsidRDefault="00666378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iCs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szCs w:val="24"/>
              </w:rPr>
              <w:t>35</w:t>
            </w:r>
          </w:p>
        </w:tc>
      </w:tr>
      <w:tr w:rsidR="00E27E69" w:rsidRPr="00C85711" w14:paraId="3D637820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9EB71A3" w14:textId="77777777" w:rsidR="00E27E69" w:rsidRPr="00C85711" w:rsidRDefault="00E27E69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Contract:</w:t>
            </w:r>
          </w:p>
        </w:tc>
        <w:tc>
          <w:tcPr>
            <w:tcW w:w="8364" w:type="dxa"/>
          </w:tcPr>
          <w:p w14:paraId="3873612B" w14:textId="019EF044" w:rsidR="00E27E69" w:rsidRPr="006A4BC3" w:rsidRDefault="006A4BC3" w:rsidP="00921FEB">
            <w:pPr>
              <w:pStyle w:val="BodyTextIndent"/>
              <w:ind w:left="0" w:firstLine="0"/>
              <w:rPr>
                <w:rFonts w:asciiTheme="minorHAnsi" w:hAnsiTheme="minorHAnsi" w:cs="Arial"/>
                <w:b/>
                <w:bCs/>
                <w:iCs/>
                <w:sz w:val="22"/>
                <w:szCs w:val="24"/>
              </w:rPr>
            </w:pPr>
            <w:r w:rsidRPr="006A4BC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This is </w:t>
            </w:r>
            <w:r w:rsidR="002263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initially </w:t>
            </w:r>
            <w:r w:rsidRPr="006A4BC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 fixed term position until </w:t>
            </w:r>
            <w:r w:rsidR="00A1520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30/09/2026</w:t>
            </w:r>
            <w:r w:rsidR="002263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 with the possibility of extension subject to availability of funding</w:t>
            </w:r>
          </w:p>
        </w:tc>
      </w:tr>
      <w:tr w:rsidR="00E27E69" w:rsidRPr="00C85711" w14:paraId="7E00C9B3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C0444BC" w14:textId="77777777" w:rsidR="00E27E69" w:rsidRPr="00C85711" w:rsidRDefault="00E27E69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Location:</w:t>
            </w:r>
          </w:p>
        </w:tc>
        <w:tc>
          <w:tcPr>
            <w:tcW w:w="8364" w:type="dxa"/>
          </w:tcPr>
          <w:p w14:paraId="3ACDA35C" w14:textId="7CFFB43C" w:rsidR="00E27E69" w:rsidRPr="006A4BC3" w:rsidRDefault="006A4BC3" w:rsidP="0068015D">
            <w:pPr>
              <w:pStyle w:val="BodyTextIndent"/>
              <w:ind w:left="0" w:firstLine="0"/>
              <w:rPr>
                <w:rFonts w:asciiTheme="minorHAnsi" w:hAnsiTheme="minorHAnsi" w:cs="Arial"/>
                <w:b/>
                <w:bCs/>
                <w:iCs/>
                <w:sz w:val="22"/>
                <w:szCs w:val="24"/>
              </w:rPr>
            </w:pPr>
            <w:r w:rsidRPr="006A4BC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This position will be based at the Bay Campus</w:t>
            </w:r>
          </w:p>
        </w:tc>
      </w:tr>
    </w:tbl>
    <w:p w14:paraId="7F46CA97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6D6147" w14:paraId="3E26D19C" w14:textId="77777777" w:rsidTr="00AA7F8F">
        <w:tc>
          <w:tcPr>
            <w:tcW w:w="1844" w:type="dxa"/>
            <w:shd w:val="clear" w:color="auto" w:fill="365F91" w:themeFill="accent1" w:themeFillShade="BF"/>
            <w:vAlign w:val="center"/>
          </w:tcPr>
          <w:p w14:paraId="59D6F8B7" w14:textId="77777777" w:rsidR="006D6147" w:rsidRPr="00F424B0" w:rsidRDefault="00703D00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</w:rPr>
              <w:t>Introduction</w:t>
            </w:r>
          </w:p>
        </w:tc>
        <w:tc>
          <w:tcPr>
            <w:tcW w:w="9072" w:type="dxa"/>
          </w:tcPr>
          <w:p w14:paraId="3DEEFBB2" w14:textId="0C774AC0" w:rsidR="002E3A7A" w:rsidRDefault="002231F1" w:rsidP="002E3A7A">
            <w:pPr>
              <w:pStyle w:val="Heading3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The Swansea Academy of Advanced Computing (SA2C) supports scientific research computing across Swansea University. Formed in 2017, it hosts the SUNBIRD and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AccelerateAI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 computational facilities. Projects supported by the team include the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ExCALIBUR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-</w:t>
            </w:r>
            <w:r w:rsidR="00D71A42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funded</w:t>
            </w: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 EXALAT </w:t>
            </w:r>
            <w:r w:rsidR="00D71A42"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and </w:t>
            </w:r>
            <w:proofErr w:type="spellStart"/>
            <w:r w:rsidR="00D71A42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E</w:t>
            </w:r>
            <w:r w:rsidR="004C2AA3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xa</w:t>
            </w:r>
            <w:r w:rsidR="00D71A42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TEPP</w:t>
            </w:r>
            <w:proofErr w:type="spellEnd"/>
            <w:r w:rsidR="00D71A42"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initiative</w:t>
            </w:r>
            <w:r w:rsidR="00D71A42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s</w:t>
            </w: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, which </w:t>
            </w:r>
            <w:r w:rsidR="0016114B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are</w:t>
            </w: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 preparing the Lattice Field Theory </w:t>
            </w:r>
            <w:r w:rsidR="0016114B"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and Particle Physics Experiments </w:t>
            </w: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communit</w:t>
            </w:r>
            <w:r w:rsidR="0016114B"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ies </w:t>
            </w: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in the UK for the availability of Exascale computing resources; the work of the Swansea University Medical School on modelling and responding to the COVID-19 pandemic in Wales; and the Supercomputing Wales programme, Wales’s national research facility.</w:t>
            </w:r>
            <w:r w:rsidR="002E3A7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 </w:t>
            </w:r>
          </w:p>
          <w:p w14:paraId="27107A0B" w14:textId="101C1F61" w:rsidR="002E3A7A" w:rsidRPr="002E3A7A" w:rsidRDefault="002E3A7A" w:rsidP="002E3A7A">
            <w:pPr>
              <w:pStyle w:val="Heading3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SA2C is looking to recruit a Research Software Engineer to join this team, </w:t>
            </w:r>
            <w:r w:rsidR="00A1520F"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initially to support the technical work enabling the formation of a Collaborative Computational Project in Theoretical and Experimental Particle Physics, and </w:t>
            </w: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to support the work of </w:t>
            </w:r>
            <w:r w:rsidR="008C0A17">
              <w:rPr>
                <w:rFonts w:asciiTheme="minorHAnsi" w:hAnsiTheme="minorHAnsi" w:cstheme="minorHAnsi"/>
                <w:b w:val="0"/>
                <w:color w:val="auto"/>
                <w:szCs w:val="24"/>
              </w:rPr>
              <w:t xml:space="preserve">Dr </w:t>
            </w: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Ed Bennett’s Research Software Engineering Fellowship.</w:t>
            </w:r>
          </w:p>
        </w:tc>
      </w:tr>
      <w:tr w:rsidR="006D6147" w14:paraId="525B9452" w14:textId="77777777" w:rsidTr="00AA7F8F">
        <w:tc>
          <w:tcPr>
            <w:tcW w:w="1844" w:type="dxa"/>
            <w:shd w:val="clear" w:color="auto" w:fill="365F91" w:themeFill="accent1" w:themeFillShade="BF"/>
          </w:tcPr>
          <w:p w14:paraId="724430CD" w14:textId="77777777" w:rsidR="006D6147" w:rsidRPr="00F424B0" w:rsidRDefault="006D6147" w:rsidP="006D6147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Background information </w:t>
            </w:r>
          </w:p>
        </w:tc>
        <w:tc>
          <w:tcPr>
            <w:tcW w:w="9072" w:type="dxa"/>
          </w:tcPr>
          <w:p w14:paraId="0E9D2BC9" w14:textId="23AD1068" w:rsidR="00A1520F" w:rsidRDefault="00A1520F" w:rsidP="00A1520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The project to form a Collaborative Computational Project in Theoretical and Experimental Particle Physics (CCP-TEPP) has been funded by </w:t>
            </w:r>
            <w:proofErr w:type="spellStart"/>
            <w:r>
              <w:rPr>
                <w:rFonts w:asciiTheme="minorHAnsi" w:hAnsiTheme="minorHAnsi"/>
                <w:szCs w:val="24"/>
              </w:rPr>
              <w:t>CoSeC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to:</w:t>
            </w:r>
          </w:p>
          <w:p w14:paraId="63AD538E" w14:textId="1FD0855A" w:rsidR="00A1520F" w:rsidRDefault="00A1520F" w:rsidP="00A1520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Develop a five-year roadmap for the software supporting particle physics research in the UK</w:t>
            </w:r>
          </w:p>
          <w:p w14:paraId="03886E25" w14:textId="1C30CF3E" w:rsidR="00A1520F" w:rsidRDefault="00A1520F" w:rsidP="00A1520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Begin implementation of parts of this roadmap, in coordination with </w:t>
            </w:r>
            <w:proofErr w:type="spellStart"/>
            <w:r>
              <w:rPr>
                <w:rFonts w:asciiTheme="minorHAnsi" w:hAnsiTheme="minorHAnsi"/>
                <w:szCs w:val="24"/>
              </w:rPr>
              <w:t>CoSeC</w:t>
            </w:r>
            <w:proofErr w:type="spellEnd"/>
          </w:p>
          <w:p w14:paraId="1A485CC0" w14:textId="7B8C1C05" w:rsidR="00A1520F" w:rsidRPr="00A1520F" w:rsidRDefault="00A1520F" w:rsidP="00A1520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Update the roadmap based on the outcome of the implementation phase</w:t>
            </w:r>
          </w:p>
          <w:p w14:paraId="6B5AA79C" w14:textId="77777777" w:rsidR="00A1520F" w:rsidRDefault="00A1520F" w:rsidP="00F956FC">
            <w:pPr>
              <w:rPr>
                <w:rFonts w:asciiTheme="minorHAnsi" w:hAnsiTheme="minorHAnsi"/>
                <w:szCs w:val="24"/>
              </w:rPr>
            </w:pPr>
          </w:p>
          <w:p w14:paraId="1FC1B5DB" w14:textId="014FBEE2" w:rsidR="0056260E" w:rsidRDefault="0056260E" w:rsidP="00F956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t xml:space="preserve">The STFC Research Software Engineering Fellowship on </w:t>
            </w:r>
            <w:r>
              <w:rPr>
                <w:rFonts w:asciiTheme="minorHAnsi" w:hAnsiTheme="minorHAnsi"/>
                <w:i/>
                <w:iCs/>
                <w:szCs w:val="24"/>
              </w:rPr>
              <w:t xml:space="preserve">Reproducible </w:t>
            </w:r>
            <w:r w:rsidR="00F956FC" w:rsidRPr="00F956FC">
              <w:rPr>
                <w:rFonts w:asciiTheme="minorHAnsi" w:hAnsiTheme="minorHAnsi"/>
                <w:i/>
                <w:iCs/>
              </w:rPr>
              <w:t>analysis frameworks in Lattice Field Theory and STFC-enabled computational research in Wales</w:t>
            </w:r>
            <w:r w:rsidR="00F956FC">
              <w:rPr>
                <w:rFonts w:asciiTheme="minorHAnsi" w:hAnsiTheme="minorHAnsi"/>
              </w:rPr>
              <w:t xml:space="preserve"> is held by </w:t>
            </w:r>
            <w:r w:rsidR="008C0A17">
              <w:rPr>
                <w:rFonts w:asciiTheme="minorHAnsi" w:hAnsiTheme="minorHAnsi"/>
              </w:rPr>
              <w:t xml:space="preserve">Dr </w:t>
            </w:r>
            <w:r w:rsidR="00F956FC">
              <w:rPr>
                <w:rFonts w:asciiTheme="minorHAnsi" w:hAnsiTheme="minorHAnsi"/>
              </w:rPr>
              <w:t>Ed Bennett at the Swansea Academy of Advanced Computing, Swansea University. The aims of this fellowship are:</w:t>
            </w:r>
          </w:p>
          <w:p w14:paraId="276D1A95" w14:textId="592BF3AB" w:rsidR="00F956FC" w:rsidRDefault="00F956FC" w:rsidP="00F956FC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3C02E5">
              <w:rPr>
                <w:rFonts w:asciiTheme="minorHAnsi" w:hAnsiTheme="minorHAnsi"/>
              </w:rPr>
              <w:t>formulate</w:t>
            </w:r>
            <w:r>
              <w:rPr>
                <w:rFonts w:asciiTheme="minorHAnsi" w:hAnsiTheme="minorHAnsi"/>
              </w:rPr>
              <w:t xml:space="preserve"> a set of </w:t>
            </w:r>
            <w:r w:rsidR="003C02E5">
              <w:rPr>
                <w:rFonts w:asciiTheme="minorHAnsi" w:hAnsiTheme="minorHAnsi"/>
              </w:rPr>
              <w:t>best practices</w:t>
            </w:r>
            <w:r>
              <w:rPr>
                <w:rFonts w:asciiTheme="minorHAnsi" w:hAnsiTheme="minorHAnsi"/>
              </w:rPr>
              <w:t xml:space="preserve"> for reproducibility of </w:t>
            </w:r>
            <w:r w:rsidR="003C02E5">
              <w:rPr>
                <w:rFonts w:asciiTheme="minorHAnsi" w:hAnsiTheme="minorHAnsi"/>
              </w:rPr>
              <w:t>analyses</w:t>
            </w:r>
            <w:r>
              <w:rPr>
                <w:rFonts w:asciiTheme="minorHAnsi" w:hAnsiTheme="minorHAnsi"/>
              </w:rPr>
              <w:t xml:space="preserve"> in lattice field theory (LFT)</w:t>
            </w:r>
          </w:p>
          <w:p w14:paraId="55100699" w14:textId="134C4757" w:rsidR="00F956FC" w:rsidRDefault="00F956FC" w:rsidP="00F956FC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develop a set of common tools that makes these </w:t>
            </w:r>
            <w:r w:rsidR="003C02E5">
              <w:rPr>
                <w:rFonts w:asciiTheme="minorHAnsi" w:hAnsiTheme="minorHAnsi"/>
              </w:rPr>
              <w:t>practices</w:t>
            </w:r>
            <w:r>
              <w:rPr>
                <w:rFonts w:asciiTheme="minorHAnsi" w:hAnsiTheme="minorHAnsi"/>
              </w:rPr>
              <w:t xml:space="preserve"> simple enough to follow that it is harder to not do so</w:t>
            </w:r>
          </w:p>
          <w:p w14:paraId="73F82A5D" w14:textId="0EC557F4" w:rsidR="00F956FC" w:rsidRDefault="00F956FC" w:rsidP="00F956FC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integrate these tools into the research workflows of LFT researchers at Swansea University and elsewhere</w:t>
            </w:r>
          </w:p>
          <w:p w14:paraId="43CBF6CB" w14:textId="574C0845" w:rsidR="00F956FC" w:rsidRDefault="00F956FC" w:rsidP="00F956FC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support researchers and RSEs in the Solar System Physics group at Aberystwyth University in moving their software from the Interactive Data Language (IDL) to Python</w:t>
            </w:r>
          </w:p>
          <w:p w14:paraId="1AE62C9D" w14:textId="4266922F" w:rsidR="00F956FC" w:rsidRDefault="00F956FC" w:rsidP="00F956FC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support researchers working with the LIGO scientific collaboration at </w:t>
            </w:r>
            <w:r w:rsidR="00211F10">
              <w:rPr>
                <w:rFonts w:asciiTheme="minorHAnsi" w:hAnsiTheme="minorHAnsi"/>
              </w:rPr>
              <w:t xml:space="preserve">the Gravity Exploration Institute at </w:t>
            </w:r>
            <w:r>
              <w:rPr>
                <w:rFonts w:asciiTheme="minorHAnsi" w:hAnsiTheme="minorHAnsi"/>
              </w:rPr>
              <w:t>Cardiff University in improving the performance of their analyses</w:t>
            </w:r>
          </w:p>
          <w:p w14:paraId="3D110E3A" w14:textId="245A7637" w:rsidR="009B512B" w:rsidRPr="00A1520F" w:rsidRDefault="00397DA3" w:rsidP="00A1520F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train researchers at Swansea University on reproducible data analysis and related research software techniques</w:t>
            </w:r>
          </w:p>
        </w:tc>
      </w:tr>
      <w:tr w:rsidR="006D6147" w14:paraId="6552CC70" w14:textId="77777777" w:rsidTr="00AA7F8F">
        <w:tc>
          <w:tcPr>
            <w:tcW w:w="1844" w:type="dxa"/>
            <w:shd w:val="clear" w:color="auto" w:fill="365F91" w:themeFill="accent1" w:themeFillShade="BF"/>
            <w:vAlign w:val="center"/>
          </w:tcPr>
          <w:p w14:paraId="1E55F20C" w14:textId="77777777" w:rsidR="006D6147" w:rsidRPr="00F424B0" w:rsidRDefault="00CF795A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br w:type="page"/>
            </w:r>
            <w:r w:rsidR="00703D00"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Main Purpose of Post: </w:t>
            </w:r>
          </w:p>
          <w:p w14:paraId="62336B2F" w14:textId="77777777" w:rsidR="006D6147" w:rsidRPr="00F424B0" w:rsidRDefault="006D614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072" w:type="dxa"/>
          </w:tcPr>
          <w:p w14:paraId="6C1620D0" w14:textId="1150B4C6" w:rsidR="00CF795A" w:rsidRDefault="003C02E5" w:rsidP="003C02E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The successful applicant will </w:t>
            </w:r>
            <w:r w:rsidR="009B512B">
              <w:rPr>
                <w:rFonts w:asciiTheme="minorHAnsi" w:hAnsiTheme="minorHAnsi"/>
                <w:szCs w:val="24"/>
              </w:rPr>
              <w:t>support the Research Software Engineering efforts at SA2C and within the Faculty of Science and Engineering. I</w:t>
            </w:r>
            <w:r>
              <w:rPr>
                <w:rFonts w:asciiTheme="minorHAnsi" w:hAnsiTheme="minorHAnsi"/>
                <w:szCs w:val="24"/>
              </w:rPr>
              <w:t xml:space="preserve">n the first instance </w:t>
            </w:r>
            <w:r w:rsidR="009B512B">
              <w:rPr>
                <w:rFonts w:asciiTheme="minorHAnsi" w:hAnsiTheme="minorHAnsi"/>
                <w:szCs w:val="24"/>
              </w:rPr>
              <w:t xml:space="preserve">this will </w:t>
            </w:r>
            <w:r>
              <w:rPr>
                <w:rFonts w:asciiTheme="minorHAnsi" w:hAnsiTheme="minorHAnsi"/>
                <w:szCs w:val="24"/>
              </w:rPr>
              <w:t xml:space="preserve">support </w:t>
            </w:r>
            <w:r w:rsidR="009B512B">
              <w:rPr>
                <w:rFonts w:asciiTheme="minorHAnsi" w:hAnsiTheme="minorHAnsi"/>
                <w:szCs w:val="24"/>
              </w:rPr>
              <w:t xml:space="preserve">both the </w:t>
            </w:r>
            <w:r w:rsidR="00AA7906">
              <w:rPr>
                <w:rFonts w:asciiTheme="minorHAnsi" w:hAnsiTheme="minorHAnsi"/>
                <w:szCs w:val="24"/>
              </w:rPr>
              <w:t xml:space="preserve">project to form CCP-TEPP and the </w:t>
            </w:r>
            <w:r>
              <w:rPr>
                <w:rFonts w:asciiTheme="minorHAnsi" w:hAnsiTheme="minorHAnsi"/>
                <w:szCs w:val="24"/>
              </w:rPr>
              <w:t xml:space="preserve">Fellowship project of Dr </w:t>
            </w:r>
            <w:r w:rsidR="008C0A17">
              <w:rPr>
                <w:rFonts w:asciiTheme="minorHAnsi" w:hAnsiTheme="minorHAnsi"/>
                <w:szCs w:val="24"/>
              </w:rPr>
              <w:t xml:space="preserve">Ed </w:t>
            </w:r>
            <w:r>
              <w:rPr>
                <w:rFonts w:asciiTheme="minorHAnsi" w:hAnsiTheme="minorHAnsi"/>
                <w:szCs w:val="24"/>
              </w:rPr>
              <w:t>Bennett. This will include:</w:t>
            </w:r>
          </w:p>
          <w:p w14:paraId="5E3D2ED5" w14:textId="18EE5E7D" w:rsidR="009B512B" w:rsidRDefault="00AA7906" w:rsidP="009B512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Performing technical interventions on software used for lattice quantum field theory research in the UK</w:t>
            </w:r>
          </w:p>
          <w:p w14:paraId="524D452F" w14:textId="6E46FB64" w:rsidR="00AA7906" w:rsidRDefault="00AA7906" w:rsidP="009B512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Developing and/or deploying computational infrastructure to support the reproducibility efforts of the TELOS collaboration</w:t>
            </w:r>
          </w:p>
          <w:p w14:paraId="5AE0D30E" w14:textId="699206CB" w:rsidR="00AA7906" w:rsidRDefault="00AA7906" w:rsidP="009B512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Supporting the development and dissemination of best practices in reproducibility and openness for lattice quantum field theory research</w:t>
            </w:r>
          </w:p>
          <w:p w14:paraId="28F1F50D" w14:textId="7A9A22C1" w:rsidR="00226390" w:rsidRPr="00226390" w:rsidRDefault="00226390" w:rsidP="0022639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It is anticipated that they will </w:t>
            </w:r>
            <w:r w:rsidR="00C8156A">
              <w:rPr>
                <w:rFonts w:asciiTheme="minorHAnsi" w:hAnsiTheme="minorHAnsi"/>
                <w:szCs w:val="24"/>
              </w:rPr>
              <w:t xml:space="preserve">also </w:t>
            </w:r>
            <w:proofErr w:type="gramStart"/>
            <w:r>
              <w:rPr>
                <w:rFonts w:asciiTheme="minorHAnsi" w:hAnsiTheme="minorHAnsi"/>
                <w:szCs w:val="24"/>
              </w:rPr>
              <w:t>have the opportunity to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work on other </w:t>
            </w:r>
            <w:r w:rsidR="00C8156A">
              <w:rPr>
                <w:rFonts w:asciiTheme="minorHAnsi" w:hAnsiTheme="minorHAnsi"/>
                <w:szCs w:val="24"/>
              </w:rPr>
              <w:t xml:space="preserve">funded </w:t>
            </w:r>
            <w:r>
              <w:rPr>
                <w:rFonts w:asciiTheme="minorHAnsi" w:hAnsiTheme="minorHAnsi"/>
                <w:szCs w:val="24"/>
              </w:rPr>
              <w:t xml:space="preserve">projects </w:t>
            </w:r>
            <w:r w:rsidR="00C8156A">
              <w:rPr>
                <w:rFonts w:asciiTheme="minorHAnsi" w:hAnsiTheme="minorHAnsi"/>
                <w:szCs w:val="24"/>
              </w:rPr>
              <w:t xml:space="preserve">supported </w:t>
            </w:r>
            <w:r>
              <w:rPr>
                <w:rFonts w:asciiTheme="minorHAnsi" w:hAnsiTheme="minorHAnsi"/>
                <w:szCs w:val="24"/>
              </w:rPr>
              <w:t>by SA2C</w:t>
            </w:r>
            <w:r w:rsidR="00C8156A">
              <w:rPr>
                <w:rFonts w:asciiTheme="minorHAnsi" w:hAnsiTheme="minorHAnsi"/>
                <w:szCs w:val="24"/>
              </w:rPr>
              <w:t>, contributing to the long-term sustainability of the team and the post.</w:t>
            </w:r>
          </w:p>
        </w:tc>
      </w:tr>
      <w:tr w:rsidR="003C02E5" w14:paraId="7F14AF63" w14:textId="77777777" w:rsidTr="00AA7F8F">
        <w:tc>
          <w:tcPr>
            <w:tcW w:w="1844" w:type="dxa"/>
            <w:shd w:val="clear" w:color="auto" w:fill="365F91" w:themeFill="accent1" w:themeFillShade="BF"/>
            <w:vAlign w:val="center"/>
          </w:tcPr>
          <w:p w14:paraId="3479C0ED" w14:textId="2BE3B1F5" w:rsidR="003C02E5" w:rsidRDefault="003C02E5" w:rsidP="003C02E5">
            <w:pPr>
              <w:jc w:val="left"/>
            </w:pPr>
            <w:r>
              <w:br w:type="page"/>
            </w:r>
            <w:r>
              <w:rPr>
                <w:rFonts w:asciiTheme="minorHAnsi" w:hAnsiTheme="minorHAnsi"/>
                <w:b/>
                <w:color w:val="FFFFFF" w:themeColor="background1"/>
                <w:szCs w:val="24"/>
              </w:rPr>
              <w:t>General Duties</w:t>
            </w:r>
          </w:p>
        </w:tc>
        <w:tc>
          <w:tcPr>
            <w:tcW w:w="9072" w:type="dxa"/>
          </w:tcPr>
          <w:p w14:paraId="34EB31B4" w14:textId="08B08C4E" w:rsidR="003C02E5" w:rsidRDefault="00C8156A" w:rsidP="00C8156A">
            <w:pPr>
              <w:pStyle w:val="BodyText"/>
              <w:numPr>
                <w:ilvl w:val="0"/>
                <w:numId w:val="45"/>
              </w:numPr>
              <w:tabs>
                <w:tab w:val="left" w:pos="0"/>
              </w:tabs>
              <w:ind w:right="-20"/>
              <w:jc w:val="both"/>
              <w:rPr>
                <w:rFonts w:asciiTheme="minorHAnsi" w:hAnsiTheme="minorHAnsi" w:cs="Arial"/>
                <w:b w:val="0"/>
                <w:bCs/>
                <w:iCs/>
              </w:rPr>
            </w:pPr>
            <w:r>
              <w:rPr>
                <w:rFonts w:asciiTheme="minorHAnsi" w:hAnsiTheme="minorHAnsi" w:cs="Arial"/>
                <w:b w:val="0"/>
                <w:bCs/>
                <w:iCs/>
              </w:rPr>
              <w:t>Pro-actively contribute to and conduct the development of research software, exhibiting a degree of independence in terms of specifying the exact methodology to be applie</w:t>
            </w:r>
            <w:r w:rsidR="000D0B5D">
              <w:rPr>
                <w:rFonts w:asciiTheme="minorHAnsi" w:hAnsiTheme="minorHAnsi" w:cs="Arial"/>
                <w:b w:val="0"/>
                <w:bCs/>
                <w:iCs/>
              </w:rPr>
              <w:t>d, while following good research software engineering principles and practices</w:t>
            </w:r>
            <w:r>
              <w:rPr>
                <w:rFonts w:asciiTheme="minorHAnsi" w:hAnsiTheme="minorHAnsi" w:cs="Arial"/>
                <w:b w:val="0"/>
                <w:bCs/>
                <w:iCs/>
              </w:rPr>
              <w:t>.</w:t>
            </w:r>
          </w:p>
          <w:p w14:paraId="78034A73" w14:textId="1EB3FC94" w:rsidR="000D0B5D" w:rsidRDefault="000D0B5D" w:rsidP="00C8156A">
            <w:pPr>
              <w:pStyle w:val="BodyText"/>
              <w:numPr>
                <w:ilvl w:val="0"/>
                <w:numId w:val="45"/>
              </w:numPr>
              <w:tabs>
                <w:tab w:val="left" w:pos="0"/>
              </w:tabs>
              <w:ind w:right="-20"/>
              <w:jc w:val="both"/>
              <w:rPr>
                <w:rFonts w:asciiTheme="minorHAnsi" w:hAnsiTheme="minorHAnsi" w:cs="Arial"/>
                <w:b w:val="0"/>
                <w:bCs/>
                <w:iCs/>
              </w:rPr>
            </w:pPr>
            <w:r>
              <w:rPr>
                <w:rFonts w:asciiTheme="minorHAnsi" w:hAnsiTheme="minorHAnsi" w:cs="Arial"/>
                <w:b w:val="0"/>
                <w:bCs/>
                <w:iCs/>
              </w:rPr>
              <w:t>Support other members of the RSE team in doing the same, including through code reviews, offering advice, and sharing best practices.</w:t>
            </w:r>
          </w:p>
          <w:p w14:paraId="1C7AECE1" w14:textId="1B13B96D" w:rsidR="00C8156A" w:rsidRDefault="00C8156A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Be self-motivated, apply and use initiative, aiming to determine suitable ways to tackle challenges and seeking guidance when needed</w:t>
            </w:r>
            <w:r w:rsidR="00E971C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, and adapting in response to feedback when it is received.</w:t>
            </w:r>
          </w:p>
          <w:p w14:paraId="3466070D" w14:textId="314C0DDF" w:rsidR="00C8156A" w:rsidRDefault="00C8156A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Interact positively and professionally with other collaborators and partners within the College, elsewhere in the University and beyond both in industry/commerce and academia</w:t>
            </w:r>
            <w: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.</w:t>
            </w:r>
          </w:p>
          <w:p w14:paraId="4DBCF3A9" w14:textId="79ED7B53" w:rsidR="000D0B5D" w:rsidRDefault="000D0B5D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Participate in broader SA2C activities, including events for knowledge exchange and outreach.</w:t>
            </w:r>
          </w:p>
          <w:p w14:paraId="26A11CE2" w14:textId="625E4E6B" w:rsidR="000D0B5D" w:rsidRDefault="000D0B5D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Support and contribute to the preparation of reports, funding applications, journal and conference papers, and other academic outputs.</w:t>
            </w:r>
          </w:p>
          <w:p w14:paraId="4608E06A" w14:textId="77777777" w:rsidR="00C8156A" w:rsidRDefault="00C8156A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Contribute to </w:t>
            </w:r>
            <w: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SA2C</w:t>
            </w: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 organisational matters in order to help it run smoothly and to help raise its external profile.</w:t>
            </w:r>
          </w:p>
          <w:p w14:paraId="15F4A561" w14:textId="1E13AD3B" w:rsidR="00C8156A" w:rsidRDefault="00C8156A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Keep informed of developments </w:t>
            </w:r>
            <w:r w:rsidR="00E971C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in research software engineering, including both practices and techniques directly applicable to current projects, and developments in the field as a whole</w:t>
            </w:r>
            <w: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.</w:t>
            </w:r>
          </w:p>
          <w:p w14:paraId="1387627E" w14:textId="77777777" w:rsidR="00C8156A" w:rsidRDefault="00C8156A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When requested act as a representative or member of committees, using the opportunity to extend own professional experience.</w:t>
            </w:r>
          </w:p>
          <w:p w14:paraId="0671E1E9" w14:textId="10DE979B" w:rsidR="00C8156A" w:rsidRDefault="00C8156A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Demonstrate and evidence own professional development, identifying development needs with reference to </w:t>
            </w:r>
            <w: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the </w:t>
            </w: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Vitae Researcher Development Framework </w:t>
            </w:r>
            <w: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and other relevant professional development frameworks, </w:t>
            </w: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particularly with regard to probation, performance reviews, and participation in training events</w:t>
            </w:r>
            <w:r w:rsidR="00E971C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.</w:t>
            </w:r>
          </w:p>
          <w:p w14:paraId="18ED9F55" w14:textId="77777777" w:rsidR="00C8156A" w:rsidRDefault="00C8156A" w:rsidP="00C8156A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C8156A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Maintain and enhance links with the professional institutions and other related bodies.</w:t>
            </w:r>
          </w:p>
          <w:p w14:paraId="438AA339" w14:textId="77777777" w:rsidR="000D0B5D" w:rsidRPr="000D0B5D" w:rsidRDefault="000D0B5D" w:rsidP="000D0B5D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0D0B5D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To promote equality and diversity in working practices and maintain positive working relationships. </w:t>
            </w:r>
          </w:p>
          <w:p w14:paraId="38A48C90" w14:textId="653E8053" w:rsidR="000D0B5D" w:rsidRPr="000D0B5D" w:rsidRDefault="000D0B5D" w:rsidP="000D0B5D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0D0B5D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To conduct the job role and all activities in accordance with safety, health and sustainability policies and management systems, in order to reduce risks and impacts arising from the work activity.</w:t>
            </w:r>
          </w:p>
          <w:p w14:paraId="5044EBBE" w14:textId="1325A8F5" w:rsidR="000D0B5D" w:rsidRPr="00C8156A" w:rsidRDefault="000D0B5D" w:rsidP="000D0B5D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</w:pPr>
            <w:r w:rsidRPr="000D0B5D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To ensure that risk management is an integral part of any </w:t>
            </w:r>
            <w:proofErr w:type="gramStart"/>
            <w:r w:rsidRPr="000D0B5D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>decision making</w:t>
            </w:r>
            <w:proofErr w:type="gramEnd"/>
            <w:r w:rsidRPr="000D0B5D">
              <w:rPr>
                <w:rFonts w:asciiTheme="minorHAnsi" w:eastAsia="Times New Roman" w:hAnsiTheme="minorHAnsi" w:cs="Arial"/>
                <w:bCs/>
                <w:iCs/>
                <w:sz w:val="24"/>
                <w:szCs w:val="20"/>
              </w:rPr>
              <w:t xml:space="preserve"> process, by ensuring compliance with the University's Risk Management Policy</w:t>
            </w:r>
          </w:p>
        </w:tc>
      </w:tr>
      <w:tr w:rsidR="003C02E5" w14:paraId="6DA053A1" w14:textId="77777777" w:rsidTr="00AA7F8F">
        <w:tc>
          <w:tcPr>
            <w:tcW w:w="1844" w:type="dxa"/>
            <w:shd w:val="clear" w:color="auto" w:fill="365F91" w:themeFill="accent1" w:themeFillShade="BF"/>
            <w:vAlign w:val="center"/>
          </w:tcPr>
          <w:p w14:paraId="1221091A" w14:textId="77777777" w:rsidR="003C02E5" w:rsidRPr="00F424B0" w:rsidRDefault="003C02E5" w:rsidP="003C02E5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Theme="minorHAnsi" w:hAnsiTheme="minorHAnsi"/>
                <w:b/>
                <w:color w:val="FFFFFF" w:themeColor="background1"/>
                <w:szCs w:val="24"/>
              </w:rPr>
              <w:t>Person Specification</w:t>
            </w:r>
          </w:p>
          <w:p w14:paraId="1866EFFB" w14:textId="77777777" w:rsidR="003C02E5" w:rsidRPr="00790AC8" w:rsidRDefault="003C02E5" w:rsidP="003C02E5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072" w:type="dxa"/>
          </w:tcPr>
          <w:p w14:paraId="4011393D" w14:textId="77777777" w:rsidR="003C02E5" w:rsidRPr="003352C5" w:rsidRDefault="003C02E5" w:rsidP="003C02E5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3352C5">
              <w:rPr>
                <w:rFonts w:asciiTheme="minorHAnsi" w:hAnsiTheme="minorHAnsi"/>
                <w:b/>
                <w:sz w:val="24"/>
                <w:szCs w:val="24"/>
              </w:rPr>
              <w:t>Essential criteria:</w:t>
            </w:r>
            <w:r w:rsidRPr="003352C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FCDB6D1" w14:textId="062545DB" w:rsidR="003C02E5" w:rsidRPr="00681627" w:rsidRDefault="003C02E5" w:rsidP="003C02E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PhD in </w:t>
            </w:r>
            <w:r w:rsidR="00EE0C62">
              <w:rPr>
                <w:rFonts w:asciiTheme="minorHAnsi" w:hAnsiTheme="minorHAnsi"/>
                <w:sz w:val="24"/>
                <w:szCs w:val="24"/>
              </w:rPr>
              <w:t>lattice quantum field theory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or equivalent experience in contributing to research </w:t>
            </w:r>
            <w:r w:rsidR="00EE0C62">
              <w:rPr>
                <w:rFonts w:asciiTheme="minorHAnsi" w:hAnsiTheme="minorHAnsi"/>
                <w:sz w:val="24"/>
                <w:szCs w:val="24"/>
              </w:rPr>
              <w:t xml:space="preserve">in this </w:t>
            </w:r>
            <w:r w:rsidR="00BB5398">
              <w:rPr>
                <w:rFonts w:asciiTheme="minorHAnsi" w:hAnsiTheme="minorHAnsi"/>
                <w:sz w:val="24"/>
                <w:szCs w:val="24"/>
              </w:rPr>
              <w:t>area</w:t>
            </w:r>
          </w:p>
          <w:p w14:paraId="5C1AD016" w14:textId="07F3A1C1" w:rsidR="003C02E5" w:rsidRDefault="003C02E5" w:rsidP="003C02E5">
            <w:pPr>
              <w:pStyle w:val="ListParagraph"/>
              <w:keepLines/>
              <w:numPr>
                <w:ilvl w:val="0"/>
                <w:numId w:val="38"/>
              </w:num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Experience of software development in C</w:t>
            </w:r>
            <w:r w:rsidR="00AA7906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or C++</w:t>
            </w: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, and in </w:t>
            </w:r>
            <w:r w:rsidR="00AA7906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Python</w:t>
            </w:r>
          </w:p>
          <w:p w14:paraId="5889402B" w14:textId="4689790E" w:rsidR="00EE0C62" w:rsidRDefault="00EE0C62" w:rsidP="003C02E5">
            <w:pPr>
              <w:pStyle w:val="ListParagraph"/>
              <w:keepLines/>
              <w:numPr>
                <w:ilvl w:val="0"/>
                <w:numId w:val="38"/>
              </w:num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Experience of running software on high-performance computing systems</w:t>
            </w:r>
          </w:p>
          <w:p w14:paraId="132B5C7E" w14:textId="38A8EC2D" w:rsidR="007431B6" w:rsidRDefault="007431B6" w:rsidP="003C02E5">
            <w:pPr>
              <w:pStyle w:val="ListParagraph"/>
              <w:keepLines/>
              <w:numPr>
                <w:ilvl w:val="0"/>
                <w:numId w:val="38"/>
              </w:num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Familiarity with good practice in research software engineering (e.g. unit testing, continuous integration)</w:t>
            </w:r>
          </w:p>
          <w:p w14:paraId="79E30BDD" w14:textId="67A6B820" w:rsidR="003C02E5" w:rsidRDefault="003C02E5" w:rsidP="003C02E5">
            <w:pPr>
              <w:pStyle w:val="ListParagraph"/>
              <w:keepLines/>
              <w:numPr>
                <w:ilvl w:val="0"/>
                <w:numId w:val="38"/>
              </w:num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Experience of one or more of the areas:</w:t>
            </w:r>
          </w:p>
          <w:p w14:paraId="746B1240" w14:textId="32D1974F" w:rsidR="00AA7906" w:rsidRDefault="00AA7906" w:rsidP="003C02E5">
            <w:pPr>
              <w:pStyle w:val="ListParagraph"/>
              <w:keepLines/>
              <w:numPr>
                <w:ilvl w:val="1"/>
                <w:numId w:val="38"/>
              </w:num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Contributing to open source community software </w:t>
            </w:r>
          </w:p>
          <w:p w14:paraId="72D3C1BD" w14:textId="2264144A" w:rsidR="003C02E5" w:rsidRDefault="003C02E5" w:rsidP="003C02E5">
            <w:pPr>
              <w:pStyle w:val="ListParagraph"/>
              <w:keepLines/>
              <w:numPr>
                <w:ilvl w:val="1"/>
                <w:numId w:val="38"/>
              </w:num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Making use of workflow management frameworks (e.g. Apache Airflow, Luigi)</w:t>
            </w:r>
          </w:p>
          <w:p w14:paraId="7480D5D6" w14:textId="020F298F" w:rsidR="004A4547" w:rsidRPr="00681627" w:rsidRDefault="004A4547" w:rsidP="003C02E5">
            <w:pPr>
              <w:pStyle w:val="ListParagraph"/>
              <w:keepLines/>
              <w:numPr>
                <w:ilvl w:val="1"/>
                <w:numId w:val="38"/>
              </w:num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Publishing FAIR research data and software</w:t>
            </w:r>
          </w:p>
          <w:p w14:paraId="278BF9D9" w14:textId="19903039" w:rsidR="003C02E5" w:rsidRPr="0092337F" w:rsidRDefault="003C02E5" w:rsidP="003C02E5">
            <w:pPr>
              <w:pStyle w:val="ListParagraph"/>
              <w:keepLines/>
              <w:numPr>
                <w:ilvl w:val="0"/>
                <w:numId w:val="38"/>
              </w:num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92337F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>Willingness to travel to a range of events (adjustments in line with DDA will be considered where appropriate).</w:t>
            </w:r>
          </w:p>
          <w:p w14:paraId="07EA5BE7" w14:textId="4B96C3E9" w:rsidR="003C02E5" w:rsidRPr="003352C5" w:rsidRDefault="003C02E5" w:rsidP="003C02E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 w:rsidRPr="003352C5">
              <w:rPr>
                <w:rFonts w:asciiTheme="minorHAnsi" w:hAnsiTheme="minorHAnsi"/>
                <w:sz w:val="24"/>
                <w:szCs w:val="24"/>
              </w:rPr>
              <w:t>A commitment to continuous professional development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3352C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4D46EB4" w14:textId="77777777" w:rsidR="003C02E5" w:rsidRPr="003352C5" w:rsidRDefault="003C02E5" w:rsidP="003C02E5">
            <w:pPr>
              <w:pStyle w:val="ListParagraph"/>
              <w:spacing w:after="240"/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4A7DBAA" w14:textId="77777777" w:rsidR="003C02E5" w:rsidRPr="003352C5" w:rsidRDefault="003C02E5" w:rsidP="003C02E5">
            <w:pPr>
              <w:pStyle w:val="ListParagraph"/>
              <w:spacing w:after="240"/>
              <w:ind w:left="360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3352C5">
              <w:rPr>
                <w:rFonts w:asciiTheme="minorHAnsi" w:hAnsiTheme="minorHAnsi"/>
                <w:b/>
                <w:sz w:val="24"/>
                <w:szCs w:val="24"/>
              </w:rPr>
              <w:t>Desirable Criteria</w:t>
            </w:r>
          </w:p>
          <w:p w14:paraId="714B151E" w14:textId="77777777" w:rsidR="003C02E5" w:rsidRDefault="003C02E5" w:rsidP="003C02E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Experience of designing or developing libraries or frameworks used by others</w:t>
            </w:r>
          </w:p>
          <w:p w14:paraId="4512C9F5" w14:textId="629ACC84" w:rsidR="00EE0C62" w:rsidRDefault="00EE0C62" w:rsidP="003C02E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Experience of parallel programming, e.g., using MPI, OpenMP, CUDA, or SYCL</w:t>
            </w:r>
          </w:p>
          <w:p w14:paraId="3ED0DC4D" w14:textId="1ACABE53" w:rsidR="003C02E5" w:rsidRPr="003916CB" w:rsidRDefault="003C02E5" w:rsidP="003C02E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Experience of providing training on computational techniques (e.g. Software Carpentry)</w:t>
            </w:r>
          </w:p>
        </w:tc>
      </w:tr>
      <w:tr w:rsidR="003C02E5" w:rsidRPr="00032111" w14:paraId="681AFE14" w14:textId="77777777" w:rsidTr="006A1001">
        <w:trPr>
          <w:trHeight w:val="2315"/>
        </w:trPr>
        <w:tc>
          <w:tcPr>
            <w:tcW w:w="1844" w:type="dxa"/>
            <w:shd w:val="clear" w:color="auto" w:fill="365F91" w:themeFill="accent1" w:themeFillShade="BF"/>
            <w:vAlign w:val="center"/>
          </w:tcPr>
          <w:p w14:paraId="3AB549A4" w14:textId="77777777" w:rsidR="003C02E5" w:rsidRPr="009505FD" w:rsidRDefault="003C02E5" w:rsidP="003C02E5">
            <w:pPr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Theme="minorHAnsi" w:hAnsiTheme="minorHAnsi"/>
                <w:b/>
                <w:color w:val="FFFFFF" w:themeColor="background1"/>
              </w:rPr>
              <w:t>Additional Information</w:t>
            </w:r>
          </w:p>
        </w:tc>
        <w:tc>
          <w:tcPr>
            <w:tcW w:w="9072" w:type="dxa"/>
          </w:tcPr>
          <w:p w14:paraId="67D89B07" w14:textId="5D8F939B" w:rsidR="003C02E5" w:rsidRPr="003D54A1" w:rsidRDefault="003C02E5" w:rsidP="003C02E5">
            <w:pPr>
              <w:spacing w:before="100" w:beforeAutospacing="1" w:after="24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D54A1">
              <w:rPr>
                <w:rFonts w:asciiTheme="minorHAnsi" w:hAnsiTheme="minorHAnsi"/>
                <w:color w:val="000000"/>
                <w:szCs w:val="24"/>
                <w:lang w:eastAsia="en-GB"/>
              </w:rPr>
              <w:t xml:space="preserve">Informal enquiries: </w:t>
            </w:r>
            <w:r w:rsidR="008C0A17">
              <w:rPr>
                <w:rFonts w:asciiTheme="minorHAnsi" w:hAnsiTheme="minorHAnsi"/>
                <w:color w:val="000000"/>
                <w:szCs w:val="24"/>
                <w:lang w:eastAsia="en-GB"/>
              </w:rPr>
              <w:t xml:space="preserve">Dr </w:t>
            </w: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Ed Bennett</w:t>
            </w:r>
            <w:r w:rsidRPr="003D54A1">
              <w:rPr>
                <w:rFonts w:asciiTheme="minorHAnsi" w:hAnsiTheme="minorHAnsi"/>
                <w:color w:val="000000"/>
                <w:szCs w:val="24"/>
                <w:lang w:eastAsia="en-GB"/>
              </w:rPr>
              <w:t xml:space="preserve"> </w:t>
            </w:r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(</w:t>
            </w:r>
            <w:hyperlink r:id="rId9" w:history="1">
              <w:r w:rsidRPr="004C5985">
                <w:rPr>
                  <w:rStyle w:val="Hyperlink"/>
                  <w:rFonts w:asciiTheme="minorHAnsi" w:hAnsiTheme="minorHAnsi"/>
                  <w:szCs w:val="24"/>
                  <w:lang w:eastAsia="en-GB"/>
                </w:rPr>
                <w:t>e.j.bennett@swansea.ac.uk</w:t>
              </w:r>
            </w:hyperlink>
            <w:r>
              <w:rPr>
                <w:rFonts w:asciiTheme="minorHAnsi" w:hAnsiTheme="minorHAnsi"/>
                <w:color w:val="000000"/>
                <w:szCs w:val="24"/>
                <w:lang w:eastAsia="en-GB"/>
              </w:rPr>
              <w:t>)</w:t>
            </w:r>
            <w:r w:rsidRPr="003D54A1">
              <w:rPr>
                <w:rFonts w:asciiTheme="minorHAnsi" w:hAnsiTheme="minorHAnsi"/>
                <w:color w:val="000000"/>
                <w:szCs w:val="24"/>
                <w:lang w:eastAsia="en-GB"/>
              </w:rPr>
              <w:t xml:space="preserve"> </w:t>
            </w:r>
          </w:p>
          <w:p w14:paraId="695024DF" w14:textId="000AC921" w:rsidR="003C02E5" w:rsidRPr="003D54A1" w:rsidRDefault="003C02E5" w:rsidP="003C02E5">
            <w:pPr>
              <w:spacing w:before="100" w:beforeAutospacing="1" w:after="24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D54A1">
              <w:rPr>
                <w:rFonts w:asciiTheme="minorHAnsi" w:hAnsiTheme="minorHAnsi"/>
                <w:color w:val="000000"/>
                <w:szCs w:val="24"/>
                <w:lang w:eastAsia="en-GB"/>
              </w:rPr>
              <w:t xml:space="preserve">Shortlisting Date: </w:t>
            </w:r>
          </w:p>
          <w:p w14:paraId="453D9F74" w14:textId="38D2994E" w:rsidR="003C02E5" w:rsidRPr="00641D48" w:rsidRDefault="003C02E5" w:rsidP="003C02E5">
            <w:pPr>
              <w:spacing w:before="100" w:beforeAutospacing="1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3D54A1">
              <w:rPr>
                <w:rFonts w:asciiTheme="minorHAnsi" w:hAnsiTheme="minorHAnsi"/>
                <w:color w:val="000000"/>
                <w:szCs w:val="24"/>
                <w:lang w:eastAsia="en-GB"/>
              </w:rPr>
              <w:t>Interview Date</w:t>
            </w:r>
          </w:p>
        </w:tc>
      </w:tr>
    </w:tbl>
    <w:p w14:paraId="6E923668" w14:textId="77777777" w:rsidR="003A6CD1" w:rsidRDefault="003916CB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04E3E23" wp14:editId="24B27E43">
            <wp:simplePos x="0" y="0"/>
            <wp:positionH relativeFrom="column">
              <wp:posOffset>19050</wp:posOffset>
            </wp:positionH>
            <wp:positionV relativeFrom="paragraph">
              <wp:posOffset>278765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tab/>
      </w:r>
      <w:r w:rsidR="00703D00">
        <w:tab/>
      </w:r>
      <w:r>
        <w:rPr>
          <w:noProof/>
          <w:lang w:eastAsia="en-GB"/>
        </w:rPr>
        <w:drawing>
          <wp:inline distT="0" distB="0" distL="0" distR="0" wp14:anchorId="6EA296FF" wp14:editId="6E87997D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tab/>
      </w:r>
      <w:r w:rsidR="00597F67">
        <w:tab/>
      </w:r>
      <w:r w:rsidR="00703D00">
        <w:tab/>
      </w:r>
      <w:r w:rsidR="00703D00">
        <w:tab/>
      </w:r>
      <w:r w:rsidR="00B91EE8">
        <w:rPr>
          <w:noProof/>
          <w:lang w:eastAsia="en-GB"/>
        </w:rPr>
        <w:drawing>
          <wp:inline distT="0" distB="0" distL="0" distR="0" wp14:anchorId="63183D21" wp14:editId="33EE0A68">
            <wp:extent cx="914400" cy="621792"/>
            <wp:effectExtent l="0" t="0" r="0" b="6985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CDF1" w14:textId="77777777" w:rsidR="00123806" w:rsidRDefault="00123806" w:rsidP="00C968EB">
      <w:pPr>
        <w:spacing w:line="240" w:lineRule="auto"/>
      </w:pPr>
      <w:r>
        <w:separator/>
      </w:r>
    </w:p>
  </w:endnote>
  <w:endnote w:type="continuationSeparator" w:id="0">
    <w:p w14:paraId="7974D61C" w14:textId="77777777" w:rsidR="00123806" w:rsidRDefault="00123806" w:rsidP="00C96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0EC91D" w14:textId="77777777" w:rsidR="003A6CD1" w:rsidRPr="0009608F" w:rsidRDefault="003A6CD1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</w:rPr>
              <w:t xml:space="preserve">Page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DA1A7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</w:rPr>
              <w:t xml:space="preserve"> of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DA1A7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007C" w14:textId="77777777" w:rsidR="00123806" w:rsidRDefault="00123806" w:rsidP="00C968EB">
      <w:pPr>
        <w:spacing w:line="240" w:lineRule="auto"/>
      </w:pPr>
      <w:r>
        <w:separator/>
      </w:r>
    </w:p>
  </w:footnote>
  <w:footnote w:type="continuationSeparator" w:id="0">
    <w:p w14:paraId="77A5E946" w14:textId="77777777" w:rsidR="00123806" w:rsidRDefault="00123806" w:rsidP="00C968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6C8"/>
    <w:multiLevelType w:val="hybridMultilevel"/>
    <w:tmpl w:val="0E6A751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05967"/>
    <w:multiLevelType w:val="hybridMultilevel"/>
    <w:tmpl w:val="970071D2"/>
    <w:lvl w:ilvl="0" w:tplc="68482F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7F9F"/>
    <w:multiLevelType w:val="hybridMultilevel"/>
    <w:tmpl w:val="432C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EF7"/>
    <w:multiLevelType w:val="hybridMultilevel"/>
    <w:tmpl w:val="5ABEB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C268F"/>
    <w:multiLevelType w:val="hybridMultilevel"/>
    <w:tmpl w:val="0F2C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AD4"/>
    <w:multiLevelType w:val="hybridMultilevel"/>
    <w:tmpl w:val="6AF25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8C94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CF9"/>
    <w:multiLevelType w:val="hybridMultilevel"/>
    <w:tmpl w:val="D2A49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1676"/>
    <w:multiLevelType w:val="hybridMultilevel"/>
    <w:tmpl w:val="9B242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E4341"/>
    <w:multiLevelType w:val="hybridMultilevel"/>
    <w:tmpl w:val="91E4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64632"/>
    <w:multiLevelType w:val="hybridMultilevel"/>
    <w:tmpl w:val="5C1E827A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1864D18"/>
    <w:multiLevelType w:val="hybridMultilevel"/>
    <w:tmpl w:val="FF54C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C38D4"/>
    <w:multiLevelType w:val="hybridMultilevel"/>
    <w:tmpl w:val="A71C8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9D6207"/>
    <w:multiLevelType w:val="hybridMultilevel"/>
    <w:tmpl w:val="730C1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A08"/>
    <w:multiLevelType w:val="hybridMultilevel"/>
    <w:tmpl w:val="899A3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1D9B"/>
    <w:multiLevelType w:val="hybridMultilevel"/>
    <w:tmpl w:val="D516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6289A"/>
    <w:multiLevelType w:val="hybridMultilevel"/>
    <w:tmpl w:val="8B90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7636"/>
    <w:multiLevelType w:val="hybridMultilevel"/>
    <w:tmpl w:val="3A1485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5A03DF"/>
    <w:multiLevelType w:val="hybridMultilevel"/>
    <w:tmpl w:val="69509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4C5B"/>
    <w:multiLevelType w:val="hybridMultilevel"/>
    <w:tmpl w:val="4AC618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D2DC2"/>
    <w:multiLevelType w:val="hybridMultilevel"/>
    <w:tmpl w:val="DF10EDC4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6137F4"/>
    <w:multiLevelType w:val="hybridMultilevel"/>
    <w:tmpl w:val="7BF86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06CDF"/>
    <w:multiLevelType w:val="hybridMultilevel"/>
    <w:tmpl w:val="0C72CE1E"/>
    <w:lvl w:ilvl="0" w:tplc="1B76C38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1B76C38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42106A"/>
    <w:multiLevelType w:val="hybridMultilevel"/>
    <w:tmpl w:val="A0C6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C9332F"/>
    <w:multiLevelType w:val="hybridMultilevel"/>
    <w:tmpl w:val="ECA2A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BEAF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F524C9"/>
    <w:multiLevelType w:val="hybridMultilevel"/>
    <w:tmpl w:val="E2602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7202F"/>
    <w:multiLevelType w:val="hybridMultilevel"/>
    <w:tmpl w:val="E41802F2"/>
    <w:lvl w:ilvl="0" w:tplc="8160A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812BF"/>
    <w:multiLevelType w:val="hybridMultilevel"/>
    <w:tmpl w:val="ED708480"/>
    <w:lvl w:ilvl="0" w:tplc="CC0458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502D69"/>
    <w:multiLevelType w:val="hybridMultilevel"/>
    <w:tmpl w:val="8090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FB"/>
    <w:multiLevelType w:val="hybridMultilevel"/>
    <w:tmpl w:val="1E3AE45E"/>
    <w:lvl w:ilvl="0" w:tplc="1B76C38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AA367BD"/>
    <w:multiLevelType w:val="hybridMultilevel"/>
    <w:tmpl w:val="893C3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C7885"/>
    <w:multiLevelType w:val="hybridMultilevel"/>
    <w:tmpl w:val="89AE7530"/>
    <w:lvl w:ilvl="0" w:tplc="88E8C1C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E60E7"/>
    <w:multiLevelType w:val="hybridMultilevel"/>
    <w:tmpl w:val="324CFBAE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295F25"/>
    <w:multiLevelType w:val="hybridMultilevel"/>
    <w:tmpl w:val="CF84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733F"/>
    <w:multiLevelType w:val="hybridMultilevel"/>
    <w:tmpl w:val="3572E132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C17DB3"/>
    <w:multiLevelType w:val="hybridMultilevel"/>
    <w:tmpl w:val="7EB68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034A56"/>
    <w:multiLevelType w:val="hybridMultilevel"/>
    <w:tmpl w:val="1916AA60"/>
    <w:lvl w:ilvl="0" w:tplc="3CBEAF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CBEAF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D689C"/>
    <w:multiLevelType w:val="hybridMultilevel"/>
    <w:tmpl w:val="EEC24274"/>
    <w:lvl w:ilvl="0" w:tplc="CA14F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D81844"/>
    <w:multiLevelType w:val="hybridMultilevel"/>
    <w:tmpl w:val="3EE0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212F1"/>
    <w:multiLevelType w:val="hybridMultilevel"/>
    <w:tmpl w:val="388C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B3236DF"/>
    <w:multiLevelType w:val="hybridMultilevel"/>
    <w:tmpl w:val="CB2AAD92"/>
    <w:lvl w:ilvl="0" w:tplc="1F148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D0535"/>
    <w:multiLevelType w:val="hybridMultilevel"/>
    <w:tmpl w:val="E6B8A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00528"/>
    <w:multiLevelType w:val="hybridMultilevel"/>
    <w:tmpl w:val="57582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4A1CB7"/>
    <w:multiLevelType w:val="hybridMultilevel"/>
    <w:tmpl w:val="5C7EC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79466">
    <w:abstractNumId w:val="16"/>
  </w:num>
  <w:num w:numId="2" w16cid:durableId="856113961">
    <w:abstractNumId w:val="45"/>
  </w:num>
  <w:num w:numId="3" w16cid:durableId="331377445">
    <w:abstractNumId w:val="21"/>
  </w:num>
  <w:num w:numId="4" w16cid:durableId="943418608">
    <w:abstractNumId w:val="41"/>
  </w:num>
  <w:num w:numId="5" w16cid:durableId="856382150">
    <w:abstractNumId w:val="12"/>
  </w:num>
  <w:num w:numId="6" w16cid:durableId="641154996">
    <w:abstractNumId w:val="26"/>
  </w:num>
  <w:num w:numId="7" w16cid:durableId="1763329343">
    <w:abstractNumId w:val="18"/>
  </w:num>
  <w:num w:numId="8" w16cid:durableId="1410032538">
    <w:abstractNumId w:val="44"/>
  </w:num>
  <w:num w:numId="9" w16cid:durableId="568076394">
    <w:abstractNumId w:val="43"/>
  </w:num>
  <w:num w:numId="10" w16cid:durableId="1196383170">
    <w:abstractNumId w:val="34"/>
  </w:num>
  <w:num w:numId="11" w16cid:durableId="871841152">
    <w:abstractNumId w:val="5"/>
  </w:num>
  <w:num w:numId="12" w16cid:durableId="1371564940">
    <w:abstractNumId w:val="29"/>
  </w:num>
  <w:num w:numId="13" w16cid:durableId="1011104615">
    <w:abstractNumId w:val="7"/>
  </w:num>
  <w:num w:numId="14" w16cid:durableId="1700625813">
    <w:abstractNumId w:val="37"/>
  </w:num>
  <w:num w:numId="15" w16cid:durableId="1528450671">
    <w:abstractNumId w:val="10"/>
  </w:num>
  <w:num w:numId="16" w16cid:durableId="225578780">
    <w:abstractNumId w:val="22"/>
  </w:num>
  <w:num w:numId="17" w16cid:durableId="226646491">
    <w:abstractNumId w:val="39"/>
  </w:num>
  <w:num w:numId="18" w16cid:durableId="1178622081">
    <w:abstractNumId w:val="36"/>
  </w:num>
  <w:num w:numId="19" w16cid:durableId="132214923">
    <w:abstractNumId w:val="4"/>
  </w:num>
  <w:num w:numId="20" w16cid:durableId="1996490119">
    <w:abstractNumId w:val="15"/>
  </w:num>
  <w:num w:numId="21" w16cid:durableId="886719085">
    <w:abstractNumId w:val="8"/>
  </w:num>
  <w:num w:numId="22" w16cid:durableId="1633905295">
    <w:abstractNumId w:val="2"/>
  </w:num>
  <w:num w:numId="23" w16cid:durableId="617764017">
    <w:abstractNumId w:val="25"/>
  </w:num>
  <w:num w:numId="24" w16cid:durableId="1406413409">
    <w:abstractNumId w:val="24"/>
  </w:num>
  <w:num w:numId="25" w16cid:durableId="1928079224">
    <w:abstractNumId w:val="3"/>
  </w:num>
  <w:num w:numId="26" w16cid:durableId="225800920">
    <w:abstractNumId w:val="11"/>
  </w:num>
  <w:num w:numId="27" w16cid:durableId="440300755">
    <w:abstractNumId w:val="38"/>
  </w:num>
  <w:num w:numId="28" w16cid:durableId="1863394300">
    <w:abstractNumId w:val="27"/>
  </w:num>
  <w:num w:numId="29" w16cid:durableId="1284074979">
    <w:abstractNumId w:val="33"/>
  </w:num>
  <w:num w:numId="30" w16cid:durableId="133840586">
    <w:abstractNumId w:val="20"/>
  </w:num>
  <w:num w:numId="31" w16cid:durableId="813632">
    <w:abstractNumId w:val="35"/>
  </w:num>
  <w:num w:numId="32" w16cid:durableId="77560101">
    <w:abstractNumId w:val="6"/>
  </w:num>
  <w:num w:numId="33" w16cid:durableId="987250941">
    <w:abstractNumId w:val="46"/>
  </w:num>
  <w:num w:numId="34" w16cid:durableId="1190296357">
    <w:abstractNumId w:val="30"/>
  </w:num>
  <w:num w:numId="35" w16cid:durableId="2076901495">
    <w:abstractNumId w:val="23"/>
  </w:num>
  <w:num w:numId="36" w16cid:durableId="1394933877">
    <w:abstractNumId w:val="28"/>
  </w:num>
  <w:num w:numId="37" w16cid:durableId="337542335">
    <w:abstractNumId w:val="14"/>
  </w:num>
  <w:num w:numId="38" w16cid:durableId="833371708">
    <w:abstractNumId w:val="19"/>
  </w:num>
  <w:num w:numId="39" w16cid:durableId="106316757">
    <w:abstractNumId w:val="0"/>
  </w:num>
  <w:num w:numId="40" w16cid:durableId="1130591319">
    <w:abstractNumId w:val="40"/>
  </w:num>
  <w:num w:numId="41" w16cid:durableId="474759687">
    <w:abstractNumId w:val="9"/>
  </w:num>
  <w:num w:numId="42" w16cid:durableId="1112213026">
    <w:abstractNumId w:val="17"/>
  </w:num>
  <w:num w:numId="43" w16cid:durableId="960109354">
    <w:abstractNumId w:val="32"/>
  </w:num>
  <w:num w:numId="44" w16cid:durableId="421024039">
    <w:abstractNumId w:val="31"/>
  </w:num>
  <w:num w:numId="45" w16cid:durableId="1663774109">
    <w:abstractNumId w:val="13"/>
  </w:num>
  <w:num w:numId="46" w16cid:durableId="934704649">
    <w:abstractNumId w:val="42"/>
  </w:num>
  <w:num w:numId="47" w16cid:durableId="105450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41C59"/>
    <w:rsid w:val="00045410"/>
    <w:rsid w:val="000478EB"/>
    <w:rsid w:val="00052ED8"/>
    <w:rsid w:val="00053D1C"/>
    <w:rsid w:val="00056648"/>
    <w:rsid w:val="0005739A"/>
    <w:rsid w:val="00057D75"/>
    <w:rsid w:val="00073847"/>
    <w:rsid w:val="00075AD1"/>
    <w:rsid w:val="0009608F"/>
    <w:rsid w:val="00096D40"/>
    <w:rsid w:val="000A0A32"/>
    <w:rsid w:val="000A1F09"/>
    <w:rsid w:val="000C032E"/>
    <w:rsid w:val="000C6FD7"/>
    <w:rsid w:val="000C7627"/>
    <w:rsid w:val="000D0B5D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23806"/>
    <w:rsid w:val="001316E0"/>
    <w:rsid w:val="00136537"/>
    <w:rsid w:val="001467E2"/>
    <w:rsid w:val="00146CD8"/>
    <w:rsid w:val="00153390"/>
    <w:rsid w:val="0016114B"/>
    <w:rsid w:val="00164ED5"/>
    <w:rsid w:val="00165350"/>
    <w:rsid w:val="00166B5E"/>
    <w:rsid w:val="00166BD2"/>
    <w:rsid w:val="00171929"/>
    <w:rsid w:val="0017396B"/>
    <w:rsid w:val="00174E42"/>
    <w:rsid w:val="00180DBB"/>
    <w:rsid w:val="00184232"/>
    <w:rsid w:val="00191023"/>
    <w:rsid w:val="00192C84"/>
    <w:rsid w:val="00194F27"/>
    <w:rsid w:val="001B3102"/>
    <w:rsid w:val="001B63F3"/>
    <w:rsid w:val="001D1526"/>
    <w:rsid w:val="001D3E13"/>
    <w:rsid w:val="001E1D09"/>
    <w:rsid w:val="002029C1"/>
    <w:rsid w:val="002035A5"/>
    <w:rsid w:val="00206C5E"/>
    <w:rsid w:val="002110A8"/>
    <w:rsid w:val="00211F10"/>
    <w:rsid w:val="00212A33"/>
    <w:rsid w:val="00212A57"/>
    <w:rsid w:val="00212E08"/>
    <w:rsid w:val="002231F1"/>
    <w:rsid w:val="00226390"/>
    <w:rsid w:val="00232400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3A7A"/>
    <w:rsid w:val="002E4D3E"/>
    <w:rsid w:val="002F10CE"/>
    <w:rsid w:val="00305900"/>
    <w:rsid w:val="00305CDF"/>
    <w:rsid w:val="00311CC7"/>
    <w:rsid w:val="003128D4"/>
    <w:rsid w:val="00315B70"/>
    <w:rsid w:val="00320D98"/>
    <w:rsid w:val="00322D0B"/>
    <w:rsid w:val="003352C5"/>
    <w:rsid w:val="003403F7"/>
    <w:rsid w:val="00343462"/>
    <w:rsid w:val="003529EB"/>
    <w:rsid w:val="00372510"/>
    <w:rsid w:val="003812E5"/>
    <w:rsid w:val="00381EF9"/>
    <w:rsid w:val="00391403"/>
    <w:rsid w:val="003916CB"/>
    <w:rsid w:val="00393054"/>
    <w:rsid w:val="00397DA3"/>
    <w:rsid w:val="003A2833"/>
    <w:rsid w:val="003A2F91"/>
    <w:rsid w:val="003A4E26"/>
    <w:rsid w:val="003A67FB"/>
    <w:rsid w:val="003A6CD1"/>
    <w:rsid w:val="003B2354"/>
    <w:rsid w:val="003B6BA9"/>
    <w:rsid w:val="003B7784"/>
    <w:rsid w:val="003C02E5"/>
    <w:rsid w:val="003D4A17"/>
    <w:rsid w:val="003D54A1"/>
    <w:rsid w:val="003F05A7"/>
    <w:rsid w:val="00402B41"/>
    <w:rsid w:val="0040418E"/>
    <w:rsid w:val="00410C76"/>
    <w:rsid w:val="00411795"/>
    <w:rsid w:val="00423C6E"/>
    <w:rsid w:val="00425D37"/>
    <w:rsid w:val="0042687D"/>
    <w:rsid w:val="00431BB4"/>
    <w:rsid w:val="004368FD"/>
    <w:rsid w:val="00441CFA"/>
    <w:rsid w:val="004541A5"/>
    <w:rsid w:val="004641BC"/>
    <w:rsid w:val="00464407"/>
    <w:rsid w:val="00465A16"/>
    <w:rsid w:val="00466B84"/>
    <w:rsid w:val="004716E7"/>
    <w:rsid w:val="00482C61"/>
    <w:rsid w:val="004A4547"/>
    <w:rsid w:val="004B0C32"/>
    <w:rsid w:val="004B135C"/>
    <w:rsid w:val="004B35E2"/>
    <w:rsid w:val="004B3FCA"/>
    <w:rsid w:val="004B5FE9"/>
    <w:rsid w:val="004C2AA3"/>
    <w:rsid w:val="004C62F4"/>
    <w:rsid w:val="004C6BBE"/>
    <w:rsid w:val="004D1721"/>
    <w:rsid w:val="004D1EC0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6260E"/>
    <w:rsid w:val="005701D8"/>
    <w:rsid w:val="00573A45"/>
    <w:rsid w:val="00574360"/>
    <w:rsid w:val="00575503"/>
    <w:rsid w:val="005816EA"/>
    <w:rsid w:val="00582A3A"/>
    <w:rsid w:val="00592F36"/>
    <w:rsid w:val="005967D4"/>
    <w:rsid w:val="00597F67"/>
    <w:rsid w:val="005C1D6F"/>
    <w:rsid w:val="005C37D4"/>
    <w:rsid w:val="005C5A1C"/>
    <w:rsid w:val="005D60D4"/>
    <w:rsid w:val="005D6772"/>
    <w:rsid w:val="005F5AEB"/>
    <w:rsid w:val="005F7C7D"/>
    <w:rsid w:val="00601312"/>
    <w:rsid w:val="00603529"/>
    <w:rsid w:val="006131CF"/>
    <w:rsid w:val="006134AE"/>
    <w:rsid w:val="00616902"/>
    <w:rsid w:val="00622374"/>
    <w:rsid w:val="00625259"/>
    <w:rsid w:val="0062545A"/>
    <w:rsid w:val="00626861"/>
    <w:rsid w:val="00626E4F"/>
    <w:rsid w:val="00635276"/>
    <w:rsid w:val="00637C74"/>
    <w:rsid w:val="00641D48"/>
    <w:rsid w:val="0064784C"/>
    <w:rsid w:val="006534C1"/>
    <w:rsid w:val="006540A7"/>
    <w:rsid w:val="006634CC"/>
    <w:rsid w:val="00665B97"/>
    <w:rsid w:val="00666378"/>
    <w:rsid w:val="00667176"/>
    <w:rsid w:val="00674B21"/>
    <w:rsid w:val="0068015D"/>
    <w:rsid w:val="00681627"/>
    <w:rsid w:val="006921B3"/>
    <w:rsid w:val="00692330"/>
    <w:rsid w:val="006929DA"/>
    <w:rsid w:val="00694417"/>
    <w:rsid w:val="00694ADA"/>
    <w:rsid w:val="00696A5B"/>
    <w:rsid w:val="006A1001"/>
    <w:rsid w:val="006A4BC3"/>
    <w:rsid w:val="006B363E"/>
    <w:rsid w:val="006B3DC3"/>
    <w:rsid w:val="006C52C1"/>
    <w:rsid w:val="006D6147"/>
    <w:rsid w:val="006D65B1"/>
    <w:rsid w:val="006E0C67"/>
    <w:rsid w:val="006E5900"/>
    <w:rsid w:val="006F5FF1"/>
    <w:rsid w:val="00703930"/>
    <w:rsid w:val="00703D00"/>
    <w:rsid w:val="007117A1"/>
    <w:rsid w:val="00721101"/>
    <w:rsid w:val="007241F0"/>
    <w:rsid w:val="00724E14"/>
    <w:rsid w:val="007431B6"/>
    <w:rsid w:val="00746D69"/>
    <w:rsid w:val="00757F6E"/>
    <w:rsid w:val="00761195"/>
    <w:rsid w:val="007678C8"/>
    <w:rsid w:val="0077138C"/>
    <w:rsid w:val="0077392A"/>
    <w:rsid w:val="00774D92"/>
    <w:rsid w:val="00777596"/>
    <w:rsid w:val="00790AC8"/>
    <w:rsid w:val="00793B7F"/>
    <w:rsid w:val="00795094"/>
    <w:rsid w:val="00795733"/>
    <w:rsid w:val="00796015"/>
    <w:rsid w:val="00796156"/>
    <w:rsid w:val="007B0179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51482"/>
    <w:rsid w:val="00861360"/>
    <w:rsid w:val="00864D8C"/>
    <w:rsid w:val="00867CA8"/>
    <w:rsid w:val="00876A2B"/>
    <w:rsid w:val="00883B48"/>
    <w:rsid w:val="008905E2"/>
    <w:rsid w:val="008A0CB0"/>
    <w:rsid w:val="008A3412"/>
    <w:rsid w:val="008B0243"/>
    <w:rsid w:val="008B228E"/>
    <w:rsid w:val="008B560B"/>
    <w:rsid w:val="008C0A17"/>
    <w:rsid w:val="008C2238"/>
    <w:rsid w:val="008C2FFB"/>
    <w:rsid w:val="008C3979"/>
    <w:rsid w:val="008D7520"/>
    <w:rsid w:val="00903A15"/>
    <w:rsid w:val="00904540"/>
    <w:rsid w:val="009156FF"/>
    <w:rsid w:val="00921FEB"/>
    <w:rsid w:val="0092337F"/>
    <w:rsid w:val="00933256"/>
    <w:rsid w:val="00957F6A"/>
    <w:rsid w:val="00975A03"/>
    <w:rsid w:val="00982607"/>
    <w:rsid w:val="00985D5B"/>
    <w:rsid w:val="00995043"/>
    <w:rsid w:val="00995A7A"/>
    <w:rsid w:val="00996BC0"/>
    <w:rsid w:val="009A4E11"/>
    <w:rsid w:val="009A60BE"/>
    <w:rsid w:val="009A7160"/>
    <w:rsid w:val="009A7443"/>
    <w:rsid w:val="009B512B"/>
    <w:rsid w:val="009B7EDD"/>
    <w:rsid w:val="009C3A29"/>
    <w:rsid w:val="009C6651"/>
    <w:rsid w:val="009D23B8"/>
    <w:rsid w:val="009D298F"/>
    <w:rsid w:val="009D2ED3"/>
    <w:rsid w:val="009D4CF8"/>
    <w:rsid w:val="009D510E"/>
    <w:rsid w:val="009E0B0D"/>
    <w:rsid w:val="009E1D90"/>
    <w:rsid w:val="009E347F"/>
    <w:rsid w:val="009E45EB"/>
    <w:rsid w:val="009F04BF"/>
    <w:rsid w:val="009F1C48"/>
    <w:rsid w:val="00A00256"/>
    <w:rsid w:val="00A1520F"/>
    <w:rsid w:val="00A16319"/>
    <w:rsid w:val="00A240FB"/>
    <w:rsid w:val="00A25463"/>
    <w:rsid w:val="00A259AD"/>
    <w:rsid w:val="00A27E7B"/>
    <w:rsid w:val="00A35F9F"/>
    <w:rsid w:val="00A61648"/>
    <w:rsid w:val="00A71A31"/>
    <w:rsid w:val="00A76124"/>
    <w:rsid w:val="00A76C05"/>
    <w:rsid w:val="00A774D2"/>
    <w:rsid w:val="00AA7906"/>
    <w:rsid w:val="00AA7F8F"/>
    <w:rsid w:val="00AD600E"/>
    <w:rsid w:val="00AE0292"/>
    <w:rsid w:val="00AE07EE"/>
    <w:rsid w:val="00B000A4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B5398"/>
    <w:rsid w:val="00BD5F83"/>
    <w:rsid w:val="00BD703D"/>
    <w:rsid w:val="00BE2F4E"/>
    <w:rsid w:val="00BF1362"/>
    <w:rsid w:val="00BF77C4"/>
    <w:rsid w:val="00C07C24"/>
    <w:rsid w:val="00C11ACD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5C58"/>
    <w:rsid w:val="00C461A6"/>
    <w:rsid w:val="00C61BF8"/>
    <w:rsid w:val="00C70DEF"/>
    <w:rsid w:val="00C76EFF"/>
    <w:rsid w:val="00C8156A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07F8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CF795A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1A42"/>
    <w:rsid w:val="00D72C5E"/>
    <w:rsid w:val="00D72C97"/>
    <w:rsid w:val="00D83AB4"/>
    <w:rsid w:val="00D840BF"/>
    <w:rsid w:val="00D857C5"/>
    <w:rsid w:val="00D87627"/>
    <w:rsid w:val="00DA0688"/>
    <w:rsid w:val="00DA1A7B"/>
    <w:rsid w:val="00DA3DD4"/>
    <w:rsid w:val="00DB09BA"/>
    <w:rsid w:val="00DB22CD"/>
    <w:rsid w:val="00DB3E32"/>
    <w:rsid w:val="00DB6D61"/>
    <w:rsid w:val="00DC5550"/>
    <w:rsid w:val="00DC7C8A"/>
    <w:rsid w:val="00DD0152"/>
    <w:rsid w:val="00DD50EF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2C67"/>
    <w:rsid w:val="00E87859"/>
    <w:rsid w:val="00E9222C"/>
    <w:rsid w:val="00E92E36"/>
    <w:rsid w:val="00E93CD6"/>
    <w:rsid w:val="00E971CA"/>
    <w:rsid w:val="00EA1FB7"/>
    <w:rsid w:val="00EA4BFB"/>
    <w:rsid w:val="00EA5840"/>
    <w:rsid w:val="00EA6580"/>
    <w:rsid w:val="00EB5429"/>
    <w:rsid w:val="00EB5FFF"/>
    <w:rsid w:val="00EC02F6"/>
    <w:rsid w:val="00EC5762"/>
    <w:rsid w:val="00EC7756"/>
    <w:rsid w:val="00ED4FCB"/>
    <w:rsid w:val="00EE0C62"/>
    <w:rsid w:val="00EF6112"/>
    <w:rsid w:val="00F050BD"/>
    <w:rsid w:val="00F12ECF"/>
    <w:rsid w:val="00F170E0"/>
    <w:rsid w:val="00F213A0"/>
    <w:rsid w:val="00F326DD"/>
    <w:rsid w:val="00F424B0"/>
    <w:rsid w:val="00F548DF"/>
    <w:rsid w:val="00F62AD1"/>
    <w:rsid w:val="00F72635"/>
    <w:rsid w:val="00F72A39"/>
    <w:rsid w:val="00F77EBA"/>
    <w:rsid w:val="00F860F9"/>
    <w:rsid w:val="00F956FC"/>
    <w:rsid w:val="00FA0E3B"/>
    <w:rsid w:val="00FA588E"/>
    <w:rsid w:val="00FB1F29"/>
    <w:rsid w:val="00FB7B67"/>
    <w:rsid w:val="00FD69DD"/>
    <w:rsid w:val="00FE6E69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ABFC"/>
  <w15:docId w15:val="{075952F0-B00C-43A9-9C8E-DB07959E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F79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rsid w:val="00CF795A"/>
    <w:pPr>
      <w:spacing w:line="240" w:lineRule="auto"/>
      <w:jc w:val="left"/>
    </w:pPr>
    <w:rPr>
      <w:rFonts w:ascii="Courier New" w:eastAsia="Batang" w:hAnsi="Courier New" w:cs="Courier New"/>
      <w:sz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CF795A"/>
    <w:rPr>
      <w:rFonts w:ascii="Courier New" w:eastAsia="Batang" w:hAnsi="Courier New" w:cs="Courier New"/>
      <w:sz w:val="2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CF795A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CF795A"/>
    <w:rPr>
      <w:rFonts w:ascii="Times New Roman" w:eastAsia="Times New Roman" w:hAnsi="Times New Roman" w:cs="Times New Roman"/>
      <w:b/>
      <w:sz w:val="32"/>
      <w:u w:val="single"/>
      <w:lang w:val="en-I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40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40A7"/>
  </w:style>
  <w:style w:type="character" w:styleId="UnresolvedMention">
    <w:name w:val="Unresolved Mention"/>
    <w:basedOn w:val="DefaultParagraphFont"/>
    <w:uiPriority w:val="99"/>
    <w:semiHidden/>
    <w:unhideWhenUsed/>
    <w:rsid w:val="006A4B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1A42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119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.j.bennett@swansea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38DD-13D9-9D4A-851E-6CC37CF9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Ed Bennett</cp:lastModifiedBy>
  <cp:revision>3</cp:revision>
  <cp:lastPrinted>2015-08-26T11:17:00Z</cp:lastPrinted>
  <dcterms:created xsi:type="dcterms:W3CDTF">2023-10-24T08:58:00Z</dcterms:created>
  <dcterms:modified xsi:type="dcterms:W3CDTF">2025-03-13T16:16:00Z</dcterms:modified>
</cp:coreProperties>
</file>