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24117" w:rsidRPr="0051342B" w:rsidP="00624117" w14:paraId="46549C85" w14:textId="77777777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51342B">
        <w:rPr>
          <w:rFonts w:ascii="Calibri" w:hAnsi="Calibri" w:cs="Arial"/>
          <w:b/>
          <w:bCs/>
          <w:u w:val="none"/>
          <w:rtl w:val="0"/>
          <w:lang w:val="cy-GB"/>
        </w:rPr>
        <w:t xml:space="preserve">Disgrifiad Swydd: </w:t>
      </w:r>
      <w:r w:rsidRPr="0051342B">
        <w:rPr>
          <w:rFonts w:ascii="Calibri" w:hAnsi="Calibri" w:cs="Arial"/>
          <w:b/>
          <w:bCs/>
          <w:u w:val="single"/>
          <w:rtl w:val="0"/>
          <w:lang w:val="cy-GB"/>
        </w:rPr>
        <w:t>Swyddi Gwasanaethau Proffesiynol</w:t>
      </w:r>
    </w:p>
    <w:p w:rsidR="00624117" w:rsidRPr="0051342B" w:rsidP="00624117" w14:paraId="37056702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0F0B8FDB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654D7AD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Cyfadran/Cyfarwyddiaeth/Maes Gwasanaeth:</w:t>
            </w:r>
          </w:p>
        </w:tc>
        <w:tc>
          <w:tcPr>
            <w:tcW w:w="8364" w:type="dxa"/>
          </w:tcPr>
          <w:p w:rsidR="00624117" w:rsidRPr="0051342B" w:rsidP="009305C0" w14:paraId="686F4088" w14:textId="2AB9B57B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</w:rPr>
            </w:pPr>
            <w:r>
              <w:rPr>
                <w:rFonts w:ascii="Calibri" w:hAnsi="Calibri" w:cs="Arial"/>
                <w:i/>
                <w:iCs/>
                <w:rtl w:val="0"/>
                <w:lang w:val="cy-GB"/>
              </w:rPr>
              <w:t xml:space="preserve">Y Gyfadran Gwyddoniaeth a Pheirianneg </w:t>
            </w:r>
          </w:p>
        </w:tc>
      </w:tr>
      <w:tr w14:paraId="2D970398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499A6DF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</w:tcPr>
          <w:p w:rsidR="00624117" w:rsidRPr="00BD4ED9" w:rsidP="009305C0" w14:paraId="447A9445" w14:textId="6AEE75EA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</w:rPr>
            </w:pPr>
            <w:r w:rsidRPr="00BD4ED9">
              <w:rPr>
                <w:rFonts w:ascii="Calibri" w:hAnsi="Calibri" w:cs="Arial"/>
                <w:i/>
                <w:iCs/>
                <w:rtl w:val="0"/>
                <w:lang w:val="cy-GB"/>
              </w:rPr>
              <w:t xml:space="preserve">Gweinyddwr CISM </w:t>
            </w:r>
          </w:p>
        </w:tc>
      </w:tr>
      <w:tr w14:paraId="6B1AABDF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1571A09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624117" w:rsidRPr="00BD4ED9" w:rsidP="009305C0" w14:paraId="432B319A" w14:textId="6AA25A9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</w:rPr>
            </w:pPr>
            <w:r w:rsidRPr="00BD4ED9">
              <w:rPr>
                <w:rFonts w:ascii="Calibri" w:hAnsi="Calibri" w:cs="Arial"/>
                <w:i/>
                <w:iCs/>
                <w:rtl w:val="0"/>
                <w:lang w:val="cy-GB"/>
              </w:rPr>
              <w:t>Y Ganolfan Deunyddiau Lled-ddargludol Integreiddiol (CISM)</w:t>
            </w:r>
          </w:p>
        </w:tc>
      </w:tr>
      <w:tr w14:paraId="1EFB7120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79407C6D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624117" w:rsidRPr="00BD4ED9" w:rsidP="009305C0" w14:paraId="39F24986" w14:textId="04AA0D99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BD4ED9">
              <w:rPr>
                <w:rFonts w:ascii="Calibri" w:hAnsi="Calibri" w:cs="Arial"/>
                <w:i/>
                <w:iCs/>
                <w:rtl w:val="0"/>
                <w:lang w:val="cy-GB"/>
              </w:rPr>
              <w:t xml:space="preserve">Gradd 5: </w:t>
            </w:r>
            <w:r w:rsidRPr="00BD4ED9">
              <w:rPr>
                <w:rFonts w:ascii="Calibri" w:hAnsi="Calibri" w:cs="Arial"/>
                <w:i/>
                <w:iCs/>
                <w:rtl w:val="0"/>
                <w:lang w:val="cy-GB"/>
              </w:rPr>
              <w:t xml:space="preserve">£25,138 i £27,979 y flwyddyn </w:t>
            </w:r>
          </w:p>
        </w:tc>
      </w:tr>
      <w:tr w14:paraId="6C6B5EB5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2F2F8B2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624117" w:rsidRPr="00BD4ED9" w:rsidP="009305C0" w14:paraId="4DF934CC" w14:textId="28D5F79B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BD4ED9">
              <w:rPr>
                <w:rFonts w:ascii="Calibri" w:hAnsi="Calibri" w:cs="Arial"/>
                <w:i/>
                <w:iCs/>
                <w:rtl w:val="0"/>
                <w:lang w:val="cy-GB"/>
              </w:rPr>
              <w:t xml:space="preserve">Amser llawn, 35 awr yr wythnos </w:t>
            </w:r>
          </w:p>
        </w:tc>
      </w:tr>
      <w:tr w14:paraId="1DC13B3D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6E1D357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624117" w:rsidRPr="00BD4ED9" w:rsidP="009305C0" w14:paraId="7199363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</w:rPr>
            </w:pPr>
            <w:r w:rsidRPr="00BD4ED9">
              <w:rPr>
                <w:rFonts w:ascii="Calibri" w:hAnsi="Calibri" w:cs="Arial"/>
                <w:i/>
                <w:iCs/>
                <w:rtl w:val="0"/>
                <w:lang w:val="cy-GB"/>
              </w:rPr>
              <w:t>1</w:t>
            </w:r>
          </w:p>
        </w:tc>
      </w:tr>
      <w:tr w14:paraId="4FADB6DE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190A5E9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624117" w:rsidRPr="004F1726" w:rsidP="009305C0" w14:paraId="3DDC8381" w14:textId="236270F5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4F1726">
              <w:rPr>
                <w:rFonts w:asciiTheme="minorHAnsi" w:hAnsiTheme="minorHAnsi" w:cs="Arial"/>
                <w:rtl w:val="0"/>
                <w:lang w:val="cy-GB"/>
              </w:rPr>
              <w:t xml:space="preserve">Dyma swydd am gyfnod penodol o 12 mis gyda'r posibilrwydd o estyniad </w:t>
            </w:r>
          </w:p>
        </w:tc>
      </w:tr>
      <w:tr w14:paraId="7D5CAFF7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564D35AB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624117" w:rsidRPr="0051342B" w:rsidP="009305C0" w14:paraId="6B10C4D9" w14:textId="5FCF6CAD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BD4ED9">
              <w:rPr>
                <w:rFonts w:asciiTheme="minorHAnsi" w:hAnsiTheme="minorHAnsi" w:cs="Arial"/>
                <w:rtl w:val="0"/>
                <w:lang w:val="cy-GB"/>
              </w:rPr>
              <w:t>Bydd deiliad y swydd hon yn gweithio ar Gampws y Bae</w:t>
            </w:r>
          </w:p>
        </w:tc>
      </w:tr>
    </w:tbl>
    <w:p w:rsidR="00624117" w:rsidRPr="0051342B" w:rsidP="00624117" w14:paraId="67D78FBD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2722D47B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3B22CF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624117" w:rsidRPr="0051342B" w:rsidP="009305C0" w14:paraId="7574ABE4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BD4ED9" w:rsidRPr="00046852" w:rsidP="00BD4ED9" w14:paraId="54BFD5F3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04685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 Prifysgol Abertawe wedi cychwyn ar ehangu'n sylweddol ei hymdrechion ym maes Gwyddoniaeth a Pheirianneg Lled-ddargludyddion a arweinir drwy'r Ganolfan Deunyddiau Lled-ddargludol Integreiddiol (CISM) newydd – gweledigaeth am ddegawd gwerth £90M gan gynnwys cyfleuster Ymchwil, Datblygu ac Arloesi newydd a phwrpasol y buddsoddwyd £55M ynddo sy'n canolbwyntio ar y diwydiant. CISM yw'r ganolfan gyntaf o'i bath i integreiddio'n llawn saernïo, dadansoddi a phrofi ar lefel deunyddiau a dyfeisiau ar draws llwyfannau lled-ddargludyddion prif ffrwd a rhai sy'n dod i'r amlwg ac mae'n ymateb uniongyrchol i anghenion y diwydiant lled-ddargludyddion rhanbarthol sy'n ehangu'n gyflym, a'n gweledigaeth a rennir o economi weithgynhyrchu ffyniannus a modern yng Nghymru.</w:t>
            </w:r>
          </w:p>
          <w:p w:rsidR="00BD4ED9" w:rsidRPr="00046852" w:rsidP="00BD4ED9" w14:paraId="5E7FB440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:rsidR="00BD4ED9" w:rsidRPr="00046852" w:rsidP="00BD4ED9" w14:paraId="6432E772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04685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Mae portffolio CISM, sy'n werth mwy nag £80M ar hyn o bryd, yn cwmpasu ystod amrywiol o ffynonellau cyllid gan gynnwys Llywodraeth Cymru, byd diwydiant, a sawl elfen o ffynonellau cyllid preifat a chyhoeddus gan gynnwys Cronfa Her Strategaeth Diwydiant, EPSRC, Innovate UK, Sefydliad Wolfson, a Sefydliad Henry Royce. Mae'r portffolio hwn yn canolbwyntio ar feysydd blaenoriaeth allweddol CISM sef i) Synwyryddion ac Optoelectroneg; ii) Ynni Effeithlon, Colled Isel a Micro Electroneg; iii) Lled-ddargludyddion ar gyfer Technoleg Gofod a iv) ymdrech newydd mewn Cyfathrebu THz. </w:t>
            </w:r>
            <w:r w:rsidRPr="00671679">
              <w:rPr>
                <w:rFonts w:cstheme="minorHAnsi"/>
                <w:bCs/>
                <w:rtl w:val="0"/>
                <w:lang w:val="cy-GB"/>
              </w:rPr>
              <w:t xml:space="preserve">Yn benodol, mae CISM yn bartner ym Mhrosiect Cam 1 </w:t>
            </w:r>
            <w:r w:rsidRPr="00671679">
              <w:rPr>
                <w:rFonts w:cstheme="minorHAnsi"/>
                <w:bCs/>
                <w:i/>
                <w:iCs/>
                <w:rtl w:val="0"/>
                <w:lang w:val="cy-GB"/>
              </w:rPr>
              <w:t xml:space="preserve">Cronfa </w:t>
            </w:r>
            <w:r w:rsidRPr="00671679">
              <w:rPr>
                <w:rFonts w:cstheme="minorHAnsi"/>
                <w:bCs/>
                <w:i/>
                <w:iCs/>
                <w:rtl w:val="0"/>
                <w:lang w:val="cy-GB"/>
              </w:rPr>
              <w:t>Strength</w:t>
            </w:r>
            <w:r w:rsidRPr="00671679">
              <w:rPr>
                <w:rFonts w:cstheme="minorHAnsi"/>
                <w:bCs/>
                <w:i/>
                <w:iCs/>
                <w:rtl w:val="0"/>
                <w:lang w:val="cy-GB"/>
              </w:rPr>
              <w:t xml:space="preserve"> </w:t>
            </w:r>
            <w:r w:rsidRPr="00671679">
              <w:rPr>
                <w:rFonts w:cstheme="minorHAnsi"/>
                <w:bCs/>
                <w:i/>
                <w:iCs/>
                <w:rtl w:val="0"/>
                <w:lang w:val="cy-GB"/>
              </w:rPr>
              <w:t>in</w:t>
            </w:r>
            <w:r w:rsidRPr="00671679">
              <w:rPr>
                <w:rFonts w:cstheme="minorHAnsi"/>
                <w:bCs/>
                <w:i/>
                <w:iCs/>
                <w:rtl w:val="0"/>
                <w:lang w:val="cy-GB"/>
              </w:rPr>
              <w:t xml:space="preserve"> </w:t>
            </w:r>
            <w:r w:rsidRPr="00671679">
              <w:rPr>
                <w:rFonts w:cstheme="minorHAnsi"/>
                <w:bCs/>
                <w:i/>
                <w:iCs/>
                <w:rtl w:val="0"/>
                <w:lang w:val="cy-GB"/>
              </w:rPr>
              <w:t>Places</w:t>
            </w:r>
            <w:r w:rsidRPr="00671679">
              <w:rPr>
                <w:rFonts w:cstheme="minorHAnsi"/>
                <w:bCs/>
                <w:rtl w:val="0"/>
                <w:lang w:val="cy-GB"/>
              </w:rPr>
              <w:t xml:space="preserve"> 'CS Connected' (SIPF), rhaglen Cyflymu Effaith yn Seiliedig ar Le Lled-ddargludyddion Cyfansawdd De Cymru ochr yn ochr â Phrifysgol Caerdydd, a Chanolfan Hyfforddiant Doethurol yr EPSRC a ddyfernir cyn bo hir mewn Sgiliau Dyfodol Diwydiant Lled-ddargludyddion y DU (UK-SIFS); menter newydd gyffrous gwerth £18.5M mewn ymchwil ôl-raddedig gyda Phrifysgol Leeds a 25 o bartneriaid diwydiannol. Mae CISM hefyd yn cynhyrchu incwm sylweddol o ffynonellau masnachol sy'n cynnig ystod o wasanaethau o ddeori busnesau bach a chanolig hyd at ddarparu hyfforddiant, ymchwil a datblygu pwrpasol a hyd yn oed gweithgynhyrchu sypiau bach. </w:t>
            </w:r>
            <w:r w:rsidRPr="0004685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BD4ED9" w:rsidP="009305C0" w14:paraId="3EFC26AA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BD4ED9" w:rsidP="009305C0" w14:paraId="7E181408" w14:textId="255D3830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Bydd y Gweinyddwr CISM yn cefnogi tîm gweithredol CISM gydag amrywiaeth o swyddogaethau gweinyddol gan gynnwys caffael, trefniadau teithio, monitro ac adrodd, mewnbynnu data, cefnogi cyfarfodydd a pharatoi dogfennau archwilio. Efallai y bydd cyfle hefyd i'r rôl ddarparu cymorth ychwanegol sy'n benodol i brosiectau ar draws y portffolio.   </w:t>
            </w:r>
          </w:p>
          <w:p w:rsidR="00500AC6" w:rsidP="009305C0" w14:paraId="11960999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500AC6" w:rsidP="009305C0" w14:paraId="0EFED518" w14:textId="78B1F0B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Prif Ddyletswyddau a Chyfrifoldebau: </w:t>
            </w:r>
          </w:p>
          <w:p w:rsidR="00BD4ED9" w:rsidP="009305C0" w14:paraId="1EF0D62E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624117" w:rsidP="004F1726" w14:paraId="17F33CB2" w14:textId="71EB6D87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Caffael nwyddau traul bach hyd at gefnogi prosesau tendro llawn. </w:t>
            </w:r>
          </w:p>
          <w:p w:rsidR="004F1726" w:rsidP="004F1726" w14:paraId="2671C4C5" w14:textId="77777777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Trefnu cyfarfodydd, cymryd cofnodion a sicrhau y gweithredir ar gamau gweithredu.</w:t>
            </w:r>
          </w:p>
          <w:p w:rsidR="004F1726" w:rsidP="004F1726" w14:paraId="4DF99E10" w14:textId="77777777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Cefnogi trefnu digwyddiadau yn CISM gan gynnwys archebu ystafelloedd, arlwyo, cyfarch ymwelwyr a phartneriaid allanol. </w:t>
            </w:r>
          </w:p>
          <w:p w:rsidR="004F1726" w:rsidP="004F1726" w14:paraId="346937B7" w14:textId="69B34EFB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Cydlynu teithio ar gyfer staff a myfyrwyr CISM, gan gynnwys cydymffurfio â pholisi teithio mewnol y Brifysgol.</w:t>
            </w:r>
          </w:p>
          <w:p w:rsidR="00624117" w:rsidP="009305C0" w14:paraId="696C3DAC" w14:textId="57009426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Cynorthwyo wrth baratoi hawliadau prosiect drwy gasglu data ariannol a thystiolaeth ddogfennol yn unol â gofynion archwilio.  </w:t>
            </w:r>
          </w:p>
          <w:p w:rsidR="00621689" w:rsidP="009305C0" w14:paraId="156F0E1E" w14:textId="48AF568E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Monitro blwch post CISM-Orders a bod yn bwynt cyswllt ar gyfer ymholiadau. </w:t>
            </w:r>
          </w:p>
          <w:p w:rsidR="00621689" w:rsidP="009305C0" w14:paraId="38158D4D" w14:textId="4C27CC68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Cymorth gyda cheisiadau mynediad CISM a chynnal data defnyddwyr. </w:t>
            </w:r>
          </w:p>
          <w:p w:rsidR="00624117" w:rsidRPr="0051342B" w:rsidP="009305C0" w14:paraId="3CEE904E" w14:textId="6CB0E9B4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4C82FD12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7E3E4BD8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624117" w:rsidRPr="0051342B" w:rsidP="00624117" w14:paraId="36F0A384" w14:textId="77777777">
            <w:pPr>
              <w:pStyle w:val="ListParagraph"/>
              <w:numPr>
                <w:ilvl w:val="0"/>
                <w:numId w:val="5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>Cyfrannu'n llawn at bolisïau Galluogi Perfformiad ac Iaith Gymraeg y Brifysgol.</w:t>
            </w:r>
          </w:p>
          <w:p w:rsidR="00624117" w:rsidRPr="0051342B" w:rsidP="00624117" w14:paraId="48BDD725" w14:textId="77777777">
            <w:pPr>
              <w:pStyle w:val="ListParagraph"/>
              <w:numPr>
                <w:ilvl w:val="0"/>
                <w:numId w:val="5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624117" w:rsidRPr="0051342B" w:rsidP="00624117" w14:paraId="35F37844" w14:textId="77777777">
            <w:pPr>
              <w:pStyle w:val="ListParagraph"/>
              <w:numPr>
                <w:ilvl w:val="0"/>
                <w:numId w:val="5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:rsidR="00624117" w:rsidRPr="003A4186" w:rsidP="00624117" w14:paraId="585989AA" w14:textId="77777777">
            <w:pPr>
              <w:pStyle w:val="ListParagraph"/>
              <w:numPr>
                <w:ilvl w:val="0"/>
                <w:numId w:val="5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>Unrhyw ddyletswyddau eraill y mae'r Gyfadran/y Gyfarwyddiaeth/y Maes Gwasanaeth wedi cytuno arnynt.</w:t>
            </w:r>
          </w:p>
          <w:p w:rsidR="00624117" w:rsidRPr="003A4186" w:rsidP="00624117" w14:paraId="7E032B1A" w14:textId="7480036C">
            <w:pPr>
              <w:pStyle w:val="ListParagraph"/>
              <w:numPr>
                <w:ilvl w:val="0"/>
                <w:numId w:val="5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3A4186">
              <w:rPr>
                <w:rFonts w:asciiTheme="minorHAnsi" w:hAnsiTheme="minorHAnsi" w:cs="Arial"/>
                <w:color w:val="000000"/>
                <w:sz w:val="20"/>
                <w:szCs w:val="20"/>
                <w:rtl w:val="0"/>
                <w:lang w:val="cy-GB"/>
              </w:rPr>
              <w:t xml:space="preserve">Sicrhau bod rheoli risg yn rhan annatod o'ch gweithgareddau beunyddiol i sicrhau bod arferion gwaith yn cydymffurfio â Pholisi Rheoli Risg y Brifysgol. </w:t>
            </w:r>
          </w:p>
          <w:p w:rsidR="00624117" w:rsidRPr="0051342B" w:rsidP="009305C0" w14:paraId="5A99774F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610162E7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833808B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Gwerthoedd y Gwasanaethau Proffesiynol</w:t>
            </w:r>
          </w:p>
        </w:tc>
        <w:tc>
          <w:tcPr>
            <w:tcW w:w="9356" w:type="dxa"/>
          </w:tcPr>
          <w:p w:rsidR="00624117" w:rsidRPr="0051342B" w:rsidP="009305C0" w14:paraId="4AD728A4" w14:textId="77777777">
            <w:pPr>
              <w:bidi w:val="0"/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Mae'r holl feysydd Gwasanaethau Proffesiynol ym Mhrifysgol Abertawe yn gweithredu yn ôl cyfres ddiffiniedig o Werthoedd Craidd - 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51342B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0051342B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 - a disgwylir i bawb allu dangos ymrwymiad i'r gwerthoedd hyn o'r adeg gwneud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:rsidR="00624117" w:rsidRPr="0051342B" w:rsidP="009305C0" w14:paraId="3B3EF4BE" w14:textId="77777777">
            <w:pPr>
              <w:bidi w:val="0"/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Rydym yn Broffesiynol</w:t>
            </w:r>
            <w:r w:rsidRPr="0051342B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br/>
              <w:t>Rydym yn ymfalchïo mewn defnyddio ein gwybodaeth, ein sgiliau, ein gallu creadigol, ein huniondeb a’n gallu i farnu i gyflwyno gwasanaethau a datrysiadau arloesol, effeithiol, ac effeithlon, sydd o ansawdd rhagorol.</w:t>
            </w:r>
          </w:p>
          <w:p w:rsidR="00624117" w:rsidRPr="0051342B" w:rsidP="009305C0" w14:paraId="793FFCB4" w14:textId="77777777">
            <w:pPr>
              <w:bidi w:val="0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br/>
            </w: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 xml:space="preserve">Rydym yn Cydweithio          </w:t>
            </w:r>
            <w:r w:rsidRPr="0051342B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t xml:space="preserve"> </w:t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:rsidR="00624117" w:rsidRPr="0051342B" w:rsidP="009305C0" w14:paraId="26CE83DF" w14:textId="77777777">
            <w:pPr>
              <w:bidi w:val="0"/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Rydym yn Ofalgar</w:t>
            </w:r>
            <w:r w:rsidRPr="0051342B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br/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:rsidR="00624117" w:rsidRPr="0051342B" w:rsidP="009305C0" w14:paraId="5BA5CCDD" w14:textId="77777777">
            <w:pPr>
              <w:bidi w:val="0"/>
              <w:spacing w:before="100" w:beforeAutospacing="1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51342B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00624117" w:rsidRPr="0051342B" w:rsidP="009305C0" w14:paraId="02B125BD" w14:textId="77777777">
            <w:pPr>
              <w:bidi w:val="0"/>
              <w:rPr>
                <w:rFonts w:eastAsia="Times New Roman" w:asciiTheme="minorHAnsi" w:hAnsiTheme="minorHAnsi"/>
                <w:sz w:val="20"/>
                <w:szCs w:val="20"/>
                <w:lang w:val="en-US"/>
              </w:rPr>
            </w:pPr>
          </w:p>
        </w:tc>
      </w:tr>
      <w:tr w14:paraId="76FFF523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0D3C2E4F" w14:textId="77777777">
            <w:pPr>
              <w:bidi w:val="0"/>
              <w:spacing w:before="240" w:after="24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sz w:val="20"/>
                <w:szCs w:val="20"/>
                <w:rtl w:val="0"/>
                <w:lang w:val="cy-GB"/>
              </w:rPr>
              <w:br w:type="page"/>
            </w: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624117" w:rsidRPr="0051342B" w:rsidP="009305C0" w14:paraId="58C956E1" w14:textId="77777777">
            <w:pPr>
              <w:bidi w:val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624117" w:rsidRPr="0051342B" w:rsidP="009305C0" w14:paraId="3F16C8D6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</w:p>
          <w:p w:rsidR="00624117" w:rsidRPr="0051342B" w:rsidP="009305C0" w14:paraId="68237E13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Gwerthoedd:</w:t>
            </w:r>
          </w:p>
          <w:p w:rsidR="00624117" w:rsidRPr="0051342B" w:rsidP="00BD4ED9" w14:paraId="34A891EB" w14:textId="77777777">
            <w:pPr>
              <w:pStyle w:val="ListParagraph"/>
              <w:numPr>
                <w:ilvl w:val="0"/>
                <w:numId w:val="13"/>
              </w:numPr>
              <w:bidi w:val="0"/>
              <w:spacing w:before="0" w:after="24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1342B">
              <w:rPr>
                <w:rFonts w:asciiTheme="minorHAnsi" w:hAnsiTheme="minorHAnsi" w:cs="Arial"/>
                <w:bCs/>
                <w:sz w:val="20"/>
                <w:szCs w:val="20"/>
                <w:rtl w:val="0"/>
                <w:lang w:val="cy-GB"/>
              </w:rPr>
              <w:t>Tystiolaeth o ymfalchïo mewn darparu gwasanaethau ac atebion proffesiynol</w:t>
            </w:r>
          </w:p>
          <w:p w:rsidR="00624117" w:rsidRPr="0051342B" w:rsidP="00BD4ED9" w14:paraId="41F2B73E" w14:textId="77777777">
            <w:pPr>
              <w:pStyle w:val="ListParagraph"/>
              <w:numPr>
                <w:ilvl w:val="0"/>
                <w:numId w:val="13"/>
              </w:numPr>
              <w:bidi w:val="0"/>
              <w:spacing w:before="0" w:after="24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1342B">
              <w:rPr>
                <w:rFonts w:asciiTheme="minorHAnsi" w:hAnsiTheme="minorHAnsi" w:cs="Arial"/>
                <w:bCs/>
                <w:sz w:val="20"/>
                <w:szCs w:val="20"/>
                <w:rtl w:val="0"/>
                <w:lang w:val="cy-GB"/>
              </w:rPr>
              <w:t>Gallu gweithio mewn amgylchedd o gydraddoldeb, ymddiriedaeth a pharch i ddarparu gwasanaethau sy'n ceisio rhagori ar anghenion a disgwyliadau'r cwsmeriaid.</w:t>
            </w:r>
          </w:p>
          <w:p w:rsidR="00624117" w:rsidRPr="0051342B" w:rsidP="00BD4ED9" w14:paraId="176C9B52" w14:textId="20D55DED">
            <w:pPr>
              <w:pStyle w:val="ListParagraph"/>
              <w:numPr>
                <w:ilvl w:val="0"/>
                <w:numId w:val="13"/>
              </w:numPr>
              <w:bidi w:val="0"/>
              <w:spacing w:before="0" w:after="2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hAnsiTheme="minorHAnsi" w:cs="Arial"/>
                <w:bCs w:val="0"/>
                <w:sz w:val="20"/>
                <w:szCs w:val="20"/>
                <w:rtl w:val="0"/>
                <w:lang w:val="cy-GB"/>
              </w:rPr>
              <w:t xml:space="preserve">Tystiolaeth o ymagwedd ofalgar at eich holl gwsmeriaid, gan sicrhau profiad personol a chadarnhaol </w:t>
            </w:r>
          </w:p>
          <w:p w:rsidR="00BD4ED9" w:rsidP="009305C0" w14:paraId="44ECDEA0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Cymwysterau:</w:t>
            </w:r>
          </w:p>
          <w:p w:rsidR="00624117" w:rsidRPr="00BD4ED9" w:rsidP="0057489F" w14:paraId="3C8F4B71" w14:textId="4E257551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/>
              <w:rPr>
                <w:rFonts w:asciiTheme="minorHAnsi" w:hAnsiTheme="minorHAnsi"/>
                <w:bCs/>
                <w:sz w:val="20"/>
                <w:szCs w:val="20"/>
              </w:rPr>
            </w:pPr>
            <w:r w:rsidRPr="00BD4ED9"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Addysg hyd at lefel TGAU neu brofiad gweinyddu cyfwerth:</w:t>
            </w:r>
          </w:p>
          <w:p w:rsidR="00624117" w:rsidRPr="0057489F" w:rsidP="0057489F" w14:paraId="604DFFCC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57489F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Profiad:</w:t>
            </w:r>
          </w:p>
          <w:p w:rsidR="00BD4ED9" w:rsidRPr="00367C5C" w:rsidP="0057489F" w14:paraId="415AF482" w14:textId="77777777">
            <w:pPr>
              <w:pStyle w:val="Title"/>
              <w:numPr>
                <w:ilvl w:val="0"/>
                <w:numId w:val="16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 w:rsidRPr="00750309">
              <w:rPr>
                <w:rFonts w:asciiTheme="minorHAnsi" w:hAnsiTheme="minorHAnsi" w:cstheme="minorHAnsi"/>
                <w:spacing w:val="0"/>
                <w:sz w:val="20"/>
                <w:szCs w:val="20"/>
                <w:rtl w:val="0"/>
                <w:lang w:val="cy-GB"/>
              </w:rPr>
              <w:t>Profiad o waith gweinyddol cyffredinol neu weinyddu prosiectau.</w:t>
            </w:r>
          </w:p>
          <w:p w:rsidR="00BD4ED9" w:rsidRPr="00367C5C" w:rsidP="0057489F" w14:paraId="5962EF79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IE"/>
              </w:rPr>
            </w:pPr>
            <w:r w:rsidRPr="00367C5C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Profiad o gyfathrebu â rhanddeiliaid mewnol ac allanol i gyflawni canlyniadau llwyddiannus.</w:t>
            </w:r>
          </w:p>
          <w:p w:rsidR="00BD4ED9" w:rsidRPr="00367C5C" w:rsidP="0057489F" w14:paraId="4389E367" w14:textId="58540116">
            <w:pPr>
              <w:pStyle w:val="ListParagraph"/>
              <w:numPr>
                <w:ilvl w:val="0"/>
                <w:numId w:val="16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7C5C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Profiad o ddarparu cymorth a chyngor gweinyddol i ystod amrywiol o bobl. </w:t>
            </w:r>
          </w:p>
          <w:p w:rsidR="00BD4ED9" w:rsidRPr="00367C5C" w:rsidP="0057489F" w14:paraId="1BE5B638" w14:textId="55BAE6AB">
            <w:pPr>
              <w:pStyle w:val="ListParagraph"/>
              <w:numPr>
                <w:ilvl w:val="0"/>
                <w:numId w:val="16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7C5C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Profiad o geisio a chasglu data a dogfennau ariannol ar gyfer cofnodion cywir. </w:t>
            </w:r>
          </w:p>
          <w:p w:rsidR="00BD4ED9" w:rsidRPr="00750309" w:rsidP="0057489F" w14:paraId="5E8BCD58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030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ddefnyddio systemau a gweithdrefnau rheoli swyddfa.</w:t>
            </w:r>
          </w:p>
          <w:p w:rsidR="00BD4ED9" w:rsidRPr="0051342B" w:rsidP="009305C0" w14:paraId="2C47C527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24117" w:rsidRPr="0057489F" w:rsidP="0057489F" w14:paraId="2B5B1578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57489F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Gwybodaeth a Sgiliau:</w:t>
            </w:r>
          </w:p>
          <w:p w:rsidR="00BD4ED9" w:rsidRPr="00750309" w:rsidP="0057489F" w14:paraId="0AA9DED0" w14:textId="0392239A">
            <w:pPr>
              <w:pStyle w:val="Title"/>
              <w:numPr>
                <w:ilvl w:val="0"/>
                <w:numId w:val="16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 w:rsidRPr="00750309">
              <w:rPr>
                <w:rFonts w:asciiTheme="minorHAnsi" w:hAnsiTheme="minorHAnsi" w:cstheme="minorHAnsi"/>
                <w:spacing w:val="0"/>
                <w:sz w:val="20"/>
                <w:szCs w:val="20"/>
                <w:rtl w:val="0"/>
                <w:lang w:val="cy-GB"/>
              </w:rPr>
              <w:t>Sgiliau trefnu da, y gallu i reoli amrywiaeth o dasgau gweinyddol a chymorth ar yr un pryd a threfnu a blaenoriaethu llwyth gwaith personol er mwyn bodloni dyddiadau cau.</w:t>
            </w:r>
          </w:p>
          <w:p w:rsidR="00BD4ED9" w:rsidRPr="0057489F" w:rsidP="0057489F" w14:paraId="31D58125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/>
              <w:rPr>
                <w:rFonts w:eastAsia="Times New Roman" w:asciiTheme="minorHAnsi" w:hAnsiTheme="minorHAnsi" w:cstheme="minorHAnsi"/>
                <w:sz w:val="20"/>
                <w:szCs w:val="20"/>
                <w:lang w:val="en-IE"/>
              </w:rPr>
            </w:pPr>
            <w:r w:rsidRPr="0057489F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Hyfedredd wrth gyfathrebu'n ysgrifenedig ac ar lafar.</w:t>
            </w:r>
          </w:p>
          <w:p w:rsidR="00BD4ED9" w:rsidRPr="0057489F" w:rsidP="0057489F" w14:paraId="66C82907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489F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Lefel uchel o lythrennedd cyfrifiadurol ynghyd â gwybodaeth drylwyr am feddalwedd Microsoft Office.</w:t>
            </w:r>
          </w:p>
          <w:p w:rsidR="00BD4ED9" w:rsidRPr="0057489F" w:rsidP="0057489F" w14:paraId="27DAE16A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489F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Gwybodaeth am weithgareddau sylfaenol ynghylch cyllid, cyllidebu, caffael a gweinyddu prosiectau.</w:t>
            </w:r>
          </w:p>
          <w:p w:rsidR="00BD4ED9" w:rsidRPr="0057489F" w:rsidP="0057489F" w14:paraId="13065A41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489F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Sylw i fanylion wrth gyflawni’r dasg dan sylw yn drylwyr ac yn fanwl gywir, gan weithio’n gyson i safon uchel.</w:t>
            </w:r>
          </w:p>
          <w:p w:rsidR="00BD4ED9" w:rsidRPr="0057489F" w:rsidP="0057489F" w14:paraId="75C132AC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489F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Aelod rhagorol o dîm sydd hefyd yn gallu gweithio'n annibynnol.</w:t>
            </w:r>
          </w:p>
          <w:p w:rsidR="0057489F" w:rsidP="0057489F" w14:paraId="16AC251D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57489F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Meini Prawf Dymunol:</w:t>
            </w:r>
          </w:p>
          <w:p w:rsidR="0057489F" w:rsidP="0057489F" w14:paraId="779A8C98" w14:textId="7B0317DF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 xml:space="preserve">Profiad yn y sector addysg uwch </w:t>
            </w:r>
          </w:p>
          <w:p w:rsidR="00BD4ED9" w:rsidRPr="00BD4ED9" w:rsidP="0057489F" w14:paraId="52D3D1D0" w14:textId="65187DAF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/>
              <w:rPr>
                <w:rFonts w:asciiTheme="minorHAnsi" w:hAnsiTheme="minorHAnsi"/>
                <w:bCs/>
                <w:sz w:val="20"/>
                <w:szCs w:val="20"/>
              </w:rPr>
            </w:pPr>
            <w:r w:rsidRPr="00BD4ED9"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 xml:space="preserve">Profiad o system ariannol Cynllunio Adnoddau Menter y Brifysgol </w:t>
            </w:r>
          </w:p>
          <w:p w:rsidR="00BD4ED9" w:rsidRPr="00BD4ED9" w:rsidP="0057489F" w14:paraId="6FB767BE" w14:textId="272199C0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/>
              <w:rPr>
                <w:rFonts w:asciiTheme="minorHAnsi" w:hAnsiTheme="minorHAnsi"/>
                <w:bCs/>
                <w:sz w:val="20"/>
                <w:szCs w:val="20"/>
              </w:rPr>
            </w:pPr>
            <w:r w:rsidRPr="00BD4ED9"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 xml:space="preserve">Profiad o weithredu yn unol â rheolau a rheoliadau caffael a chydymffurfio â nhw </w:t>
            </w:r>
          </w:p>
          <w:p w:rsidR="00624117" w:rsidRPr="0051342B" w:rsidP="009305C0" w14:paraId="583EA9AB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5FB3A941" w14:textId="77777777" w:rsidTr="009305C0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560" w:type="dxa"/>
            <w:shd w:val="clear" w:color="auto" w:fill="242F60"/>
            <w:vAlign w:val="center"/>
          </w:tcPr>
          <w:p w:rsidR="00DA73F6" w:rsidRPr="0051342B" w:rsidP="009305C0" w14:paraId="6B4528B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99205344"/>
              <w:placeholder>
                <w:docPart w:val="C0AEDD5B0D954D2FB0B22509236FB778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DA73F6" w:rsidRPr="0051342B" w:rsidP="009305C0" w14:paraId="573750BD" w14:textId="534C8F5F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DA73F6" w:rsidRPr="0051342B" w:rsidP="009305C0" w14:paraId="00214A4A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73F6" w:rsidRPr="0051342B" w:rsidP="009305C0" w14:paraId="182BB461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51342B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182EC1C1" w14:textId="77777777" w:rsidTr="00624117">
        <w:tblPrEx>
          <w:tblW w:w="10916" w:type="dxa"/>
          <w:tblInd w:w="-176" w:type="dxa"/>
          <w:tblLayout w:type="fixed"/>
          <w:tblLook w:val="04A0"/>
        </w:tblPrEx>
        <w:trPr>
          <w:trHeight w:val="2356"/>
        </w:trPr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46C2EC2" w14:textId="77777777">
            <w:pPr>
              <w:bidi w:val="0"/>
              <w:spacing w:before="24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Gwybodaeth Ychwanegol</w:t>
            </w:r>
          </w:p>
        </w:tc>
        <w:tc>
          <w:tcPr>
            <w:tcW w:w="9356" w:type="dxa"/>
          </w:tcPr>
          <w:p w:rsidR="00624117" w:rsidRPr="0051342B" w:rsidP="009305C0" w14:paraId="554AA9CF" w14:textId="697C7CF4">
            <w:pPr>
              <w:bidi w:val="0"/>
              <w:spacing w:before="100" w:beforeAutospacing="1" w:after="2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1342B">
              <w:rPr>
                <w:rFonts w:asciiTheme="minorHAnsi" w:hAnsiTheme="minorHAnsi"/>
                <w:color w:val="000000"/>
                <w:sz w:val="20"/>
                <w:szCs w:val="20"/>
                <w:rtl w:val="0"/>
                <w:lang w:val="cy-GB"/>
              </w:rPr>
              <w:t>Ymholiadau anffurfiol: Rhian Jones (</w:t>
            </w:r>
            <w:r>
              <w:fldChar w:fldCharType="begin"/>
            </w:r>
            <w:r>
              <w:instrText xml:space="preserve"> HYPERLINK "mailto:Rhian.C.Jones@swansea.ac.uk" </w:instrText>
            </w:r>
            <w:r>
              <w:fldChar w:fldCharType="separate"/>
            </w:r>
            <w:r w:rsidRPr="00B02D2D" w:rsidR="00BD4ED9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Rhian.C.Jones@abertawe.ac.uk</w:t>
            </w:r>
            <w:r>
              <w:fldChar w:fldCharType="end"/>
            </w:r>
            <w:r w:rsidR="00BD4ED9">
              <w:rPr>
                <w:rFonts w:asciiTheme="minorHAnsi" w:hAnsiTheme="minorHAnsi"/>
                <w:color w:val="000000"/>
                <w:sz w:val="20"/>
                <w:szCs w:val="20"/>
                <w:rtl w:val="0"/>
                <w:lang w:val="cy-GB"/>
              </w:rPr>
              <w:t>) neu Jonathan Mciver-Janes (</w:t>
            </w:r>
            <w:r>
              <w:fldChar w:fldCharType="begin"/>
            </w:r>
            <w:r>
              <w:instrText xml:space="preserve"> HYPERLINK "mailto:J.R.P.Mciver-Janes@swansea.ac.uk" </w:instrText>
            </w:r>
            <w:r>
              <w:fldChar w:fldCharType="separate"/>
            </w:r>
            <w:r w:rsidRPr="00B02D2D" w:rsidR="00BD4ED9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J.R.P.Mciver-Janes@abertawe.ac.uk</w:t>
            </w:r>
            <w:r>
              <w:fldChar w:fldCharType="end"/>
            </w:r>
            <w:r w:rsidR="00BD4ED9">
              <w:rPr>
                <w:rFonts w:asciiTheme="minorHAnsi" w:hAnsiTheme="minorHAnsi"/>
                <w:color w:val="000000"/>
                <w:sz w:val="20"/>
                <w:szCs w:val="20"/>
                <w:rtl w:val="0"/>
                <w:lang w:val="cy-GB"/>
              </w:rPr>
              <w:t xml:space="preserve">) </w:t>
            </w:r>
          </w:p>
          <w:p w:rsidR="00BD4ED9" w:rsidP="009305C0" w14:paraId="5FBB63AA" w14:textId="77777777">
            <w:pPr>
              <w:bidi w:val="0"/>
              <w:spacing w:before="100" w:beforeAutospacing="1" w:after="24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624117" w:rsidRPr="0051342B" w:rsidP="009305C0" w14:paraId="2C61422B" w14:textId="3F4F494A">
            <w:pPr>
              <w:bidi w:val="0"/>
              <w:spacing w:before="100" w:beforeAutospacing="1" w:after="2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1342B">
              <w:rPr>
                <w:rFonts w:asciiTheme="minorHAnsi" w:hAnsiTheme="minorHAnsi"/>
                <w:color w:val="000000"/>
                <w:sz w:val="20"/>
                <w:szCs w:val="20"/>
                <w:rtl w:val="0"/>
                <w:lang w:val="cy-GB"/>
              </w:rPr>
              <w:t>Dyddiad llunio'r rhestr fer:</w:t>
            </w:r>
          </w:p>
          <w:p w:rsidR="00624117" w:rsidRPr="0051342B" w:rsidP="009305C0" w14:paraId="2A34288A" w14:textId="77777777">
            <w:pPr>
              <w:bidi w:val="0"/>
              <w:spacing w:before="100" w:beforeAutospacing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1342B">
              <w:rPr>
                <w:rFonts w:asciiTheme="minorHAnsi" w:hAnsiTheme="minorHAnsi"/>
                <w:color w:val="000000"/>
                <w:sz w:val="20"/>
                <w:szCs w:val="20"/>
                <w:rtl w:val="0"/>
                <w:lang w:val="cy-GB"/>
              </w:rPr>
              <w:t>Dyddiad y cyfweliadau:</w:t>
            </w:r>
          </w:p>
          <w:p w:rsidR="00624117" w:rsidRPr="0051342B" w:rsidP="009305C0" w14:paraId="2E040376" w14:textId="77777777">
            <w:pPr>
              <w:bidi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BD00CE" w:rsidRPr="00BD00CE" w:rsidP="00BD00CE" w14:paraId="6D2B07BD" w14:textId="293DB4D6">
            <w:pPr>
              <w:bidi w:val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:rsidR="00BD00CE" w:rsidRPr="0051342B" w:rsidP="00BD00CE" w14:paraId="6B058AB9" w14:textId="2C9C6BBD">
            <w:pPr>
              <w:bidi w:val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24117" w:rsidRPr="0051342B" w:rsidP="009305C0" w14:paraId="4EA7D8A3" w14:textId="3FF595AB">
            <w:pPr>
              <w:bidi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624117" w:rsidRPr="0051342B" w:rsidP="00624117" w14:paraId="54CBC91A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51342B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61776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42B">
        <w:rPr>
          <w:sz w:val="20"/>
          <w:szCs w:val="20"/>
          <w:rtl w:val="0"/>
          <w:lang w:val="cy-GB"/>
        </w:rPr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101304285" name="Picture 1101304285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80469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42B">
        <w:rPr>
          <w:sz w:val="20"/>
          <w:szCs w:val="20"/>
          <w:rtl w:val="0"/>
          <w:lang w:val="cy-GB"/>
        </w:rPr>
        <w:tab/>
        <w:tab/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1523683782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48264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51342B" w:rsidP="008E75E6" w14:paraId="1FE162A5" w14:textId="35771FE9">
      <w:pPr>
        <w:bidi w:val="0"/>
        <w:rPr>
          <w:sz w:val="20"/>
          <w:szCs w:val="20"/>
        </w:rPr>
      </w:pPr>
    </w:p>
    <w:p w:rsidR="00C662E1" w:rsidRPr="0051342B" w:rsidP="008E75E6" w14:paraId="44248348" w14:textId="77777777">
      <w:pPr>
        <w:bidi w:val="0"/>
        <w:rPr>
          <w:sz w:val="20"/>
          <w:szCs w:val="20"/>
        </w:rPr>
      </w:pPr>
    </w:p>
    <w:sectPr w:rsidSect="006A343D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2525A95-9F84-4F78-8D6A-FE8AE28A49FF}"/>
    <w:embedBold r:id="rId2" w:subsetted="1" w:fontKey="{17D8EAE9-B76F-4541-A640-4FD6F934D99D}"/>
    <w:embedItalic r:id="rId3" w:subsetted="1" w:fontKey="{06EF4906-9457-4B3D-8329-2527A79D452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subsetted="1" w:fontKey="{6448BAAF-BBCF-4D6F-8E17-36CDE039C973}"/>
    <w:embedItalic r:id="rId5" w:subsetted="1" w:fontKey="{22105DE2-C3EF-4B06-ACD8-0EC1AF2A1DF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53659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6D5232"/>
    <w:multiLevelType w:val="hybridMultilevel"/>
    <w:tmpl w:val="993AAF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B4AA4"/>
    <w:multiLevelType w:val="hybridMultilevel"/>
    <w:tmpl w:val="AF527B4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33155"/>
    <w:multiLevelType w:val="hybridMultilevel"/>
    <w:tmpl w:val="6D62DF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F36CE2"/>
    <w:multiLevelType w:val="hybridMultilevel"/>
    <w:tmpl w:val="AC163CC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B64C5B"/>
    <w:multiLevelType w:val="hybridMultilevel"/>
    <w:tmpl w:val="66ECEE1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57572"/>
    <w:multiLevelType w:val="hybridMultilevel"/>
    <w:tmpl w:val="15BC1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07731B"/>
    <w:multiLevelType w:val="hybridMultilevel"/>
    <w:tmpl w:val="370636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12A2C"/>
    <w:multiLevelType w:val="hybridMultilevel"/>
    <w:tmpl w:val="3E66191A"/>
    <w:lvl w:ilvl="0">
      <w:start w:val="1"/>
      <w:numFmt w:val="decimal"/>
      <w:lvlText w:val="%1."/>
      <w:lvlJc w:val="left"/>
      <w:pPr>
        <w:ind w:left="765" w:hanging="360"/>
      </w:p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>
    <w:nsid w:val="5B324D3F"/>
    <w:multiLevelType w:val="hybridMultilevel"/>
    <w:tmpl w:val="3EFCD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510A94"/>
    <w:multiLevelType w:val="hybridMultilevel"/>
    <w:tmpl w:val="060AF97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1D21A5"/>
    <w:multiLevelType w:val="hybridMultilevel"/>
    <w:tmpl w:val="1F705A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5"/>
  </w:num>
  <w:num w:numId="15">
    <w:abstractNumId w:val="17"/>
  </w:num>
  <w:num w:numId="16">
    <w:abstractNumId w:val="1"/>
  </w:num>
  <w:num w:numId="17">
    <w:abstractNumId w:val="7"/>
  </w:num>
  <w:num w:numId="1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46852"/>
    <w:rsid w:val="00066560"/>
    <w:rsid w:val="0006771F"/>
    <w:rsid w:val="00067C0E"/>
    <w:rsid w:val="00075827"/>
    <w:rsid w:val="00075C24"/>
    <w:rsid w:val="00075DD9"/>
    <w:rsid w:val="00084E4B"/>
    <w:rsid w:val="00092944"/>
    <w:rsid w:val="000C245F"/>
    <w:rsid w:val="000C7545"/>
    <w:rsid w:val="000D136B"/>
    <w:rsid w:val="000D2A79"/>
    <w:rsid w:val="000D6D70"/>
    <w:rsid w:val="000D795B"/>
    <w:rsid w:val="000E4857"/>
    <w:rsid w:val="000F03F7"/>
    <w:rsid w:val="001010B8"/>
    <w:rsid w:val="00113332"/>
    <w:rsid w:val="001169F6"/>
    <w:rsid w:val="00120BF3"/>
    <w:rsid w:val="00135091"/>
    <w:rsid w:val="00144302"/>
    <w:rsid w:val="00152D1B"/>
    <w:rsid w:val="001549D6"/>
    <w:rsid w:val="0016352E"/>
    <w:rsid w:val="0016453B"/>
    <w:rsid w:val="0016465F"/>
    <w:rsid w:val="0017230E"/>
    <w:rsid w:val="001750AD"/>
    <w:rsid w:val="0017799B"/>
    <w:rsid w:val="00186291"/>
    <w:rsid w:val="00186BB1"/>
    <w:rsid w:val="001908DB"/>
    <w:rsid w:val="001A0961"/>
    <w:rsid w:val="001A39A6"/>
    <w:rsid w:val="001E09AC"/>
    <w:rsid w:val="001E24A4"/>
    <w:rsid w:val="001E3EE0"/>
    <w:rsid w:val="001F4A68"/>
    <w:rsid w:val="002002A7"/>
    <w:rsid w:val="00200D2E"/>
    <w:rsid w:val="0021432B"/>
    <w:rsid w:val="00226B22"/>
    <w:rsid w:val="0024575B"/>
    <w:rsid w:val="0025430A"/>
    <w:rsid w:val="00260D92"/>
    <w:rsid w:val="002612C7"/>
    <w:rsid w:val="002638F0"/>
    <w:rsid w:val="00270313"/>
    <w:rsid w:val="00274ED1"/>
    <w:rsid w:val="00282E31"/>
    <w:rsid w:val="00287FAE"/>
    <w:rsid w:val="002A66C6"/>
    <w:rsid w:val="002C2AE3"/>
    <w:rsid w:val="002E437A"/>
    <w:rsid w:val="002E5182"/>
    <w:rsid w:val="002F7D81"/>
    <w:rsid w:val="00301F1A"/>
    <w:rsid w:val="003070C3"/>
    <w:rsid w:val="00322703"/>
    <w:rsid w:val="00326CBD"/>
    <w:rsid w:val="00330BD9"/>
    <w:rsid w:val="00351BC1"/>
    <w:rsid w:val="00360DC1"/>
    <w:rsid w:val="00367C5C"/>
    <w:rsid w:val="003A4186"/>
    <w:rsid w:val="003B03A9"/>
    <w:rsid w:val="003B0D38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56223"/>
    <w:rsid w:val="004637C2"/>
    <w:rsid w:val="00463B39"/>
    <w:rsid w:val="004655B4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4F1726"/>
    <w:rsid w:val="00500AC6"/>
    <w:rsid w:val="005019FC"/>
    <w:rsid w:val="00511381"/>
    <w:rsid w:val="0051342B"/>
    <w:rsid w:val="005135B9"/>
    <w:rsid w:val="00516ED5"/>
    <w:rsid w:val="005229A8"/>
    <w:rsid w:val="005265E1"/>
    <w:rsid w:val="005367A5"/>
    <w:rsid w:val="005369C2"/>
    <w:rsid w:val="005613E7"/>
    <w:rsid w:val="00563F1B"/>
    <w:rsid w:val="00564E04"/>
    <w:rsid w:val="00564F99"/>
    <w:rsid w:val="005705E1"/>
    <w:rsid w:val="0057412C"/>
    <w:rsid w:val="0057489F"/>
    <w:rsid w:val="00580DAC"/>
    <w:rsid w:val="005A12F4"/>
    <w:rsid w:val="005C44E7"/>
    <w:rsid w:val="005C7B2A"/>
    <w:rsid w:val="005D2500"/>
    <w:rsid w:val="005D31FD"/>
    <w:rsid w:val="005D5108"/>
    <w:rsid w:val="00604F88"/>
    <w:rsid w:val="00621689"/>
    <w:rsid w:val="00624117"/>
    <w:rsid w:val="006264F5"/>
    <w:rsid w:val="006459A3"/>
    <w:rsid w:val="00647076"/>
    <w:rsid w:val="0065503D"/>
    <w:rsid w:val="006566EE"/>
    <w:rsid w:val="00662E0D"/>
    <w:rsid w:val="00665DD4"/>
    <w:rsid w:val="006660A6"/>
    <w:rsid w:val="0067031A"/>
    <w:rsid w:val="00671679"/>
    <w:rsid w:val="00671CF5"/>
    <w:rsid w:val="00673E66"/>
    <w:rsid w:val="00674577"/>
    <w:rsid w:val="00677A62"/>
    <w:rsid w:val="006849EB"/>
    <w:rsid w:val="006943AD"/>
    <w:rsid w:val="00696BA4"/>
    <w:rsid w:val="006A343D"/>
    <w:rsid w:val="006A5311"/>
    <w:rsid w:val="006A6563"/>
    <w:rsid w:val="006A6B0E"/>
    <w:rsid w:val="006A7206"/>
    <w:rsid w:val="006C10CA"/>
    <w:rsid w:val="006E4DAA"/>
    <w:rsid w:val="006F16C4"/>
    <w:rsid w:val="00716159"/>
    <w:rsid w:val="00717C91"/>
    <w:rsid w:val="0072777E"/>
    <w:rsid w:val="00736FA1"/>
    <w:rsid w:val="00741E64"/>
    <w:rsid w:val="00750309"/>
    <w:rsid w:val="00754B17"/>
    <w:rsid w:val="007625AA"/>
    <w:rsid w:val="00771D25"/>
    <w:rsid w:val="00775075"/>
    <w:rsid w:val="007754B5"/>
    <w:rsid w:val="00792CA2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F05A5"/>
    <w:rsid w:val="00811806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5366"/>
    <w:rsid w:val="008B2967"/>
    <w:rsid w:val="008C1A1D"/>
    <w:rsid w:val="008E1A67"/>
    <w:rsid w:val="008E3E34"/>
    <w:rsid w:val="008E75E6"/>
    <w:rsid w:val="008F2540"/>
    <w:rsid w:val="008F5626"/>
    <w:rsid w:val="009151A0"/>
    <w:rsid w:val="00917637"/>
    <w:rsid w:val="009227EB"/>
    <w:rsid w:val="009305C0"/>
    <w:rsid w:val="00932E9A"/>
    <w:rsid w:val="00937515"/>
    <w:rsid w:val="00941CE6"/>
    <w:rsid w:val="00957640"/>
    <w:rsid w:val="0097112E"/>
    <w:rsid w:val="00972525"/>
    <w:rsid w:val="009952FB"/>
    <w:rsid w:val="009A5217"/>
    <w:rsid w:val="009B24D4"/>
    <w:rsid w:val="009B4EBD"/>
    <w:rsid w:val="009C5FF8"/>
    <w:rsid w:val="009D4A44"/>
    <w:rsid w:val="009D796F"/>
    <w:rsid w:val="009F10E5"/>
    <w:rsid w:val="00A022BA"/>
    <w:rsid w:val="00A05A28"/>
    <w:rsid w:val="00A11CA2"/>
    <w:rsid w:val="00A20AD4"/>
    <w:rsid w:val="00A3075D"/>
    <w:rsid w:val="00A346C2"/>
    <w:rsid w:val="00A45B31"/>
    <w:rsid w:val="00A477C8"/>
    <w:rsid w:val="00A51A27"/>
    <w:rsid w:val="00A525B4"/>
    <w:rsid w:val="00A6499E"/>
    <w:rsid w:val="00A651AC"/>
    <w:rsid w:val="00A75970"/>
    <w:rsid w:val="00A77CF8"/>
    <w:rsid w:val="00A97936"/>
    <w:rsid w:val="00AA137B"/>
    <w:rsid w:val="00AA2854"/>
    <w:rsid w:val="00AA47A5"/>
    <w:rsid w:val="00AA47D7"/>
    <w:rsid w:val="00AC757A"/>
    <w:rsid w:val="00AC7DF5"/>
    <w:rsid w:val="00AE5051"/>
    <w:rsid w:val="00AF507B"/>
    <w:rsid w:val="00AF5345"/>
    <w:rsid w:val="00B01162"/>
    <w:rsid w:val="00B02D2D"/>
    <w:rsid w:val="00B06680"/>
    <w:rsid w:val="00B11E2D"/>
    <w:rsid w:val="00B20B6A"/>
    <w:rsid w:val="00B3227B"/>
    <w:rsid w:val="00B43469"/>
    <w:rsid w:val="00B53343"/>
    <w:rsid w:val="00B62EAC"/>
    <w:rsid w:val="00B65F5B"/>
    <w:rsid w:val="00B66187"/>
    <w:rsid w:val="00B86945"/>
    <w:rsid w:val="00B94D6E"/>
    <w:rsid w:val="00B95C17"/>
    <w:rsid w:val="00BA4035"/>
    <w:rsid w:val="00BB037F"/>
    <w:rsid w:val="00BB618D"/>
    <w:rsid w:val="00BD00CE"/>
    <w:rsid w:val="00BD03BE"/>
    <w:rsid w:val="00BD4ED9"/>
    <w:rsid w:val="00BE5C72"/>
    <w:rsid w:val="00BF30BA"/>
    <w:rsid w:val="00C04B9C"/>
    <w:rsid w:val="00C401A1"/>
    <w:rsid w:val="00C416DC"/>
    <w:rsid w:val="00C4196B"/>
    <w:rsid w:val="00C54D91"/>
    <w:rsid w:val="00C662E1"/>
    <w:rsid w:val="00C81340"/>
    <w:rsid w:val="00C85A09"/>
    <w:rsid w:val="00C92623"/>
    <w:rsid w:val="00C93F2E"/>
    <w:rsid w:val="00C960F5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A68E6"/>
    <w:rsid w:val="00DA73F6"/>
    <w:rsid w:val="00DB4B82"/>
    <w:rsid w:val="00DC2A06"/>
    <w:rsid w:val="00DC422F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407B3"/>
    <w:rsid w:val="00E4467F"/>
    <w:rsid w:val="00E45600"/>
    <w:rsid w:val="00E52C77"/>
    <w:rsid w:val="00E54C39"/>
    <w:rsid w:val="00E60F93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6C3"/>
    <w:rsid w:val="00F10C57"/>
    <w:rsid w:val="00F13CEC"/>
    <w:rsid w:val="00F13E00"/>
    <w:rsid w:val="00F24248"/>
    <w:rsid w:val="00F26DF3"/>
    <w:rsid w:val="00F34F79"/>
    <w:rsid w:val="00F57DA4"/>
    <w:rsid w:val="00F6691D"/>
    <w:rsid w:val="00F71A8C"/>
    <w:rsid w:val="00F751E7"/>
    <w:rsid w:val="00F846BB"/>
    <w:rsid w:val="00F8571F"/>
    <w:rsid w:val="00F96DE7"/>
    <w:rsid w:val="00FB3679"/>
    <w:rsid w:val="00FC29D0"/>
    <w:rsid w:val="00FD00BB"/>
    <w:rsid w:val="00FD5DC4"/>
    <w:rsid w:val="00FF20C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0AEDD5B0D954D2FB0B22509236F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3FA3-9622-4089-846C-F2838F47314A}"/>
      </w:docPartPr>
      <w:docPartBody>
        <w:p w:rsidR="00A3075D" w:rsidP="00A3075D">
          <w:pPr>
            <w:pStyle w:val="C0AEDD5B0D954D2FB0B22509236FB778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5D"/>
    <w:rsid w:val="00124F84"/>
    <w:rsid w:val="004B55D3"/>
    <w:rsid w:val="005369C2"/>
    <w:rsid w:val="00564E04"/>
    <w:rsid w:val="00647076"/>
    <w:rsid w:val="00771D25"/>
    <w:rsid w:val="008970B6"/>
    <w:rsid w:val="00A3075D"/>
    <w:rsid w:val="00A77CF8"/>
    <w:rsid w:val="00B0167F"/>
    <w:rsid w:val="00B62EAC"/>
    <w:rsid w:val="00C80416"/>
    <w:rsid w:val="00D60E3C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75D"/>
    <w:rPr>
      <w:color w:val="666666"/>
    </w:rPr>
  </w:style>
  <w:style w:type="paragraph" w:customStyle="1" w:styleId="C0AEDD5B0D954D2FB0B22509236FB778">
    <w:name w:val="C0AEDD5B0D954D2FB0B22509236FB778"/>
    <w:rsid w:val="00A30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04FD28C5753439C8A5552F562690E" ma:contentTypeVersion="15" ma:contentTypeDescription="Create a new document." ma:contentTypeScope="" ma:versionID="4816d83ba646fbb3272c6e9107983959">
  <xsd:schema xmlns:xsd="http://www.w3.org/2001/XMLSchema" xmlns:xs="http://www.w3.org/2001/XMLSchema" xmlns:p="http://schemas.microsoft.com/office/2006/metadata/properties" xmlns:ns2="6e412a92-93b1-4c14-9c49-509fd4934824" xmlns:ns3="727df00f-87a6-4840-a5bc-605dec91bbe5" targetNamespace="http://schemas.microsoft.com/office/2006/metadata/properties" ma:root="true" ma:fieldsID="840450831f2947f4778509f152cf5742" ns2:_="" ns3:_="">
    <xsd:import namespace="6e412a92-93b1-4c14-9c49-509fd4934824"/>
    <xsd:import namespace="727df00f-87a6-4840-a5bc-605dec91b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12a92-93b1-4c14-9c49-509fd4934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f00f-87a6-4840-a5bc-605dec91b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b59dcd-357a-45e6-b218-d93754c433bd}" ma:internalName="TaxCatchAll" ma:showField="CatchAllData" ma:web="727df00f-87a6-4840-a5bc-605dec91b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df00f-87a6-4840-a5bc-605dec91bbe5" xsi:nil="true"/>
    <lcf76f155ced4ddcb4097134ff3c332f xmlns="6e412a92-93b1-4c14-9c49-509fd49348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D69BB5-3593-4FDD-92C2-44F359852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12a92-93b1-4c14-9c49-509fd4934824"/>
    <ds:schemaRef ds:uri="727df00f-87a6-4840-a5bc-605dec91b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727df00f-87a6-4840-a5bc-605dec91bbe5"/>
    <ds:schemaRef ds:uri="6e412a92-93b1-4c14-9c49-509fd4934824"/>
  </ds:schemaRefs>
</ds:datastoreItem>
</file>

<file path=customXml/itemProps4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Dylan Evans</cp:lastModifiedBy>
  <cp:revision>2</cp:revision>
  <cp:lastPrinted>2019-01-11T13:43:00Z</cp:lastPrinted>
  <dcterms:created xsi:type="dcterms:W3CDTF">2026-05-14T10:17:00Z</dcterms:created>
  <dcterms:modified xsi:type="dcterms:W3CDTF">2026-05-14T10:17:00Z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0x01010085E04FD28C5753439C8A5552F562690E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