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FFEB2" w14:textId="77EC4AFE" w:rsidR="00B20478" w:rsidRPr="00BC0BD7" w:rsidRDefault="00C23575" w:rsidP="003B2995">
      <w:pPr>
        <w:rPr>
          <w:rFonts w:cs="Arial"/>
          <w:color w:val="002060"/>
          <w:sz w:val="32"/>
          <w:szCs w:val="32"/>
        </w:rPr>
      </w:pPr>
      <w:r w:rsidRPr="00BC0BD7">
        <w:rPr>
          <w:rFonts w:cs="Arial"/>
          <w:color w:val="002060"/>
          <w:sz w:val="32"/>
          <w:szCs w:val="32"/>
        </w:rPr>
        <w:t xml:space="preserve"> </w:t>
      </w:r>
    </w:p>
    <w:p w14:paraId="4219FCE4" w14:textId="77777777" w:rsidR="00250097" w:rsidRPr="00BC0BD7" w:rsidRDefault="00250097" w:rsidP="00250097">
      <w:pPr>
        <w:jc w:val="center"/>
        <w:rPr>
          <w:rFonts w:cs="Arial"/>
          <w:b/>
        </w:rPr>
      </w:pPr>
    </w:p>
    <w:p w14:paraId="100EF8BE" w14:textId="77777777" w:rsidR="00250097" w:rsidRPr="00BC0BD7" w:rsidRDefault="00250097" w:rsidP="00250097">
      <w:pPr>
        <w:jc w:val="center"/>
        <w:rPr>
          <w:rFonts w:cs="Arial"/>
          <w:b/>
        </w:rPr>
      </w:pPr>
    </w:p>
    <w:p w14:paraId="49279522" w14:textId="3F8641EE" w:rsidR="00250097" w:rsidRPr="00BC0BD7" w:rsidRDefault="00250097" w:rsidP="00250097">
      <w:pPr>
        <w:jc w:val="center"/>
        <w:rPr>
          <w:rFonts w:cs="Arial"/>
          <w:b/>
        </w:rPr>
      </w:pPr>
    </w:p>
    <w:p w14:paraId="6FCAC2C3" w14:textId="5E74C3CE" w:rsidR="00250097" w:rsidRPr="00BC0BD7" w:rsidRDefault="00250097" w:rsidP="00250097">
      <w:pPr>
        <w:jc w:val="center"/>
        <w:rPr>
          <w:rFonts w:cs="Arial"/>
          <w:b/>
        </w:rPr>
      </w:pPr>
    </w:p>
    <w:p w14:paraId="70FD191F" w14:textId="71ECDFB8" w:rsidR="00250097" w:rsidRPr="00BC0BD7" w:rsidRDefault="00250097" w:rsidP="00250097">
      <w:pPr>
        <w:jc w:val="center"/>
        <w:rPr>
          <w:rFonts w:cs="Arial"/>
          <w:b/>
        </w:rPr>
      </w:pPr>
    </w:p>
    <w:p w14:paraId="48AED37E" w14:textId="77777777" w:rsidR="00250097" w:rsidRPr="00BC0BD7" w:rsidRDefault="00250097" w:rsidP="00250097">
      <w:pPr>
        <w:jc w:val="center"/>
        <w:rPr>
          <w:rFonts w:cs="Arial"/>
          <w:b/>
        </w:rPr>
      </w:pPr>
    </w:p>
    <w:p w14:paraId="37122C9A" w14:textId="3170B0EB" w:rsidR="00250097" w:rsidRPr="00BC0BD7" w:rsidRDefault="00B26C38" w:rsidP="00BF2D45">
      <w:pPr>
        <w:pStyle w:val="Title"/>
        <w:jc w:val="center"/>
        <w:rPr>
          <w:rFonts w:cs="Arial"/>
        </w:rPr>
      </w:pPr>
      <w:r w:rsidRPr="00BC0BD7">
        <w:rPr>
          <w:rFonts w:cs="Arial"/>
        </w:rPr>
        <w:t>Environmental Management System</w:t>
      </w:r>
    </w:p>
    <w:p w14:paraId="4F45E3A4" w14:textId="16C48BE3" w:rsidR="00250097" w:rsidRPr="00BC0BD7" w:rsidRDefault="00C21F91" w:rsidP="00BF2D45">
      <w:pPr>
        <w:pStyle w:val="Title"/>
        <w:jc w:val="center"/>
        <w:rPr>
          <w:rFonts w:cs="Arial"/>
        </w:rPr>
      </w:pPr>
      <w:r w:rsidRPr="00CC6F73">
        <w:rPr>
          <w:rFonts w:cs="Arial"/>
        </w:rPr>
        <w:t>8.1.</w:t>
      </w:r>
      <w:r w:rsidR="00A20E52" w:rsidRPr="00CC6F73">
        <w:rPr>
          <w:rFonts w:cs="Arial"/>
        </w:rPr>
        <w:t>32</w:t>
      </w:r>
      <w:r w:rsidR="00BB0E8B" w:rsidRPr="007B774B">
        <w:rPr>
          <w:rFonts w:cs="Arial"/>
        </w:rPr>
        <w:t xml:space="preserve"> </w:t>
      </w:r>
      <w:r w:rsidR="00C602B0">
        <w:rPr>
          <w:rFonts w:cs="Arial"/>
        </w:rPr>
        <w:t xml:space="preserve">Removal and Resale of </w:t>
      </w:r>
      <w:r w:rsidR="00355E2D">
        <w:rPr>
          <w:rFonts w:cs="Arial"/>
        </w:rPr>
        <w:t>Specialist</w:t>
      </w:r>
      <w:r w:rsidR="00506CE3">
        <w:rPr>
          <w:rFonts w:cs="Arial"/>
        </w:rPr>
        <w:t xml:space="preserve"> University</w:t>
      </w:r>
      <w:r w:rsidR="00355E2D">
        <w:rPr>
          <w:rFonts w:cs="Arial"/>
        </w:rPr>
        <w:t xml:space="preserve"> Equipment</w:t>
      </w:r>
      <w:r w:rsidR="003F248C">
        <w:rPr>
          <w:rFonts w:cs="Arial"/>
        </w:rPr>
        <w:t xml:space="preserve"> </w:t>
      </w:r>
    </w:p>
    <w:p w14:paraId="55002C5B" w14:textId="77777777" w:rsidR="00BF2D45" w:rsidRPr="00BC0BD7" w:rsidRDefault="00BF2D45" w:rsidP="00BF2D45">
      <w:pPr>
        <w:rPr>
          <w:rFonts w:cs="Arial"/>
        </w:rPr>
      </w:pPr>
    </w:p>
    <w:p w14:paraId="473AE04C" w14:textId="748224D2" w:rsidR="00250097" w:rsidRPr="00BC0BD7" w:rsidRDefault="00250097" w:rsidP="00250097">
      <w:pPr>
        <w:jc w:val="center"/>
        <w:rPr>
          <w:rFonts w:cs="Arial"/>
          <w:sz w:val="36"/>
        </w:rPr>
      </w:pPr>
      <w:r w:rsidRPr="00BC0BD7">
        <w:rPr>
          <w:rFonts w:cs="Arial"/>
          <w:sz w:val="36"/>
        </w:rPr>
        <w:t xml:space="preserve">Issued: </w:t>
      </w:r>
      <w:r w:rsidR="000F4171">
        <w:rPr>
          <w:rFonts w:cs="Arial"/>
          <w:sz w:val="36"/>
        </w:rPr>
        <w:t>11</w:t>
      </w:r>
      <w:r w:rsidR="00C52A4B" w:rsidRPr="00CC6F73">
        <w:rPr>
          <w:rFonts w:cs="Arial"/>
          <w:sz w:val="36"/>
        </w:rPr>
        <w:t>/1</w:t>
      </w:r>
      <w:r w:rsidR="000F4171">
        <w:rPr>
          <w:rFonts w:cs="Arial"/>
          <w:sz w:val="36"/>
        </w:rPr>
        <w:t>2</w:t>
      </w:r>
      <w:r w:rsidR="00C52A4B" w:rsidRPr="00CC6F73">
        <w:rPr>
          <w:rFonts w:cs="Arial"/>
          <w:sz w:val="36"/>
        </w:rPr>
        <w:t>/25</w:t>
      </w:r>
    </w:p>
    <w:p w14:paraId="7BA6F97C" w14:textId="023BEB24" w:rsidR="00250097" w:rsidRPr="00BC0BD7" w:rsidRDefault="00250097" w:rsidP="003B2995">
      <w:pPr>
        <w:rPr>
          <w:rFonts w:cs="Arial"/>
          <w:color w:val="002060"/>
          <w:sz w:val="32"/>
          <w:szCs w:val="32"/>
        </w:rPr>
      </w:pPr>
    </w:p>
    <w:p w14:paraId="4911E59F" w14:textId="19B367BC" w:rsidR="00250097" w:rsidRPr="00BC0BD7" w:rsidRDefault="00250097" w:rsidP="003B2995">
      <w:pPr>
        <w:rPr>
          <w:rFonts w:cs="Arial"/>
          <w:color w:val="002060"/>
          <w:sz w:val="32"/>
          <w:szCs w:val="32"/>
        </w:rPr>
      </w:pPr>
    </w:p>
    <w:p w14:paraId="28E7D305" w14:textId="193E208E" w:rsidR="001E420E" w:rsidRPr="00BC0BD7" w:rsidRDefault="001E420E" w:rsidP="003B2995">
      <w:pPr>
        <w:rPr>
          <w:rFonts w:cs="Arial"/>
          <w:color w:val="002060"/>
          <w:sz w:val="32"/>
          <w:szCs w:val="32"/>
        </w:rPr>
      </w:pPr>
    </w:p>
    <w:p w14:paraId="530C5097" w14:textId="53148E0D" w:rsidR="001E420E" w:rsidRPr="00BC0BD7" w:rsidRDefault="001E420E" w:rsidP="003B2995">
      <w:pPr>
        <w:rPr>
          <w:rFonts w:cs="Arial"/>
          <w:color w:val="002060"/>
          <w:sz w:val="32"/>
          <w:szCs w:val="32"/>
        </w:rPr>
      </w:pPr>
    </w:p>
    <w:p w14:paraId="3A84F66F" w14:textId="28B4EBD1" w:rsidR="001E420E" w:rsidRPr="00BC0BD7" w:rsidRDefault="001E420E" w:rsidP="003B2995">
      <w:pPr>
        <w:rPr>
          <w:rFonts w:cs="Arial"/>
          <w:color w:val="002060"/>
          <w:sz w:val="32"/>
          <w:szCs w:val="32"/>
        </w:rPr>
      </w:pPr>
    </w:p>
    <w:p w14:paraId="7C4282C5" w14:textId="5EAD8866" w:rsidR="001E420E" w:rsidRPr="00BC0BD7" w:rsidRDefault="001E420E" w:rsidP="00120EB1">
      <w:pPr>
        <w:pStyle w:val="NoSpacing"/>
      </w:pPr>
    </w:p>
    <w:tbl>
      <w:tblPr>
        <w:tblStyle w:val="TableGrid"/>
        <w:tblW w:w="0" w:type="auto"/>
        <w:jc w:val="center"/>
        <w:tblLook w:val="04A0" w:firstRow="1" w:lastRow="0" w:firstColumn="1" w:lastColumn="0" w:noHBand="0" w:noVBand="1"/>
      </w:tblPr>
      <w:tblGrid>
        <w:gridCol w:w="2410"/>
        <w:gridCol w:w="5098"/>
      </w:tblGrid>
      <w:tr w:rsidR="00250097" w:rsidRPr="00BC0BD7" w14:paraId="3D208125" w14:textId="77777777" w:rsidTr="006C0C09">
        <w:trPr>
          <w:jc w:val="center"/>
        </w:trPr>
        <w:tc>
          <w:tcPr>
            <w:tcW w:w="2410" w:type="dxa"/>
            <w:shd w:val="clear" w:color="auto" w:fill="002060"/>
          </w:tcPr>
          <w:p w14:paraId="6350A391" w14:textId="77777777" w:rsidR="00250097" w:rsidRPr="00BC0BD7" w:rsidRDefault="00250097" w:rsidP="00120EB1">
            <w:pPr>
              <w:pStyle w:val="NoSpacing"/>
              <w:rPr>
                <w:b/>
              </w:rPr>
            </w:pPr>
            <w:r w:rsidRPr="00BC0BD7">
              <w:rPr>
                <w:b/>
              </w:rPr>
              <w:t>Author:</w:t>
            </w:r>
          </w:p>
        </w:tc>
        <w:tc>
          <w:tcPr>
            <w:tcW w:w="5098" w:type="dxa"/>
          </w:tcPr>
          <w:p w14:paraId="279FEBA9" w14:textId="14A2930A" w:rsidR="00250097" w:rsidRPr="00BC0BD7" w:rsidRDefault="005A5062" w:rsidP="00120EB1">
            <w:pPr>
              <w:pStyle w:val="NoSpacing"/>
              <w:rPr>
                <w:b/>
              </w:rPr>
            </w:pPr>
            <w:r>
              <w:rPr>
                <w:b/>
              </w:rPr>
              <w:t>Ben Harris</w:t>
            </w:r>
            <w:r w:rsidR="000919B7">
              <w:rPr>
                <w:b/>
              </w:rPr>
              <w:t xml:space="preserve"> - Environment Officer</w:t>
            </w:r>
          </w:p>
        </w:tc>
      </w:tr>
      <w:tr w:rsidR="00250097" w:rsidRPr="00BC0BD7" w14:paraId="72B47AC3" w14:textId="77777777" w:rsidTr="006C0C09">
        <w:trPr>
          <w:jc w:val="center"/>
        </w:trPr>
        <w:tc>
          <w:tcPr>
            <w:tcW w:w="2410" w:type="dxa"/>
            <w:shd w:val="clear" w:color="auto" w:fill="002060"/>
          </w:tcPr>
          <w:p w14:paraId="23073E9C" w14:textId="77777777" w:rsidR="00250097" w:rsidRPr="00BC0BD7" w:rsidRDefault="00250097" w:rsidP="00120EB1">
            <w:pPr>
              <w:pStyle w:val="NoSpacing"/>
              <w:rPr>
                <w:b/>
              </w:rPr>
            </w:pPr>
            <w:r w:rsidRPr="00BC0BD7">
              <w:rPr>
                <w:b/>
              </w:rPr>
              <w:t>Approved by:</w:t>
            </w:r>
          </w:p>
        </w:tc>
        <w:tc>
          <w:tcPr>
            <w:tcW w:w="5098" w:type="dxa"/>
          </w:tcPr>
          <w:p w14:paraId="67F9BC2A" w14:textId="02A01649" w:rsidR="00250097" w:rsidRPr="00BC0BD7" w:rsidRDefault="000919B7" w:rsidP="00120EB1">
            <w:pPr>
              <w:pStyle w:val="NoSpacing"/>
              <w:rPr>
                <w:b/>
              </w:rPr>
            </w:pPr>
            <w:r>
              <w:rPr>
                <w:b/>
              </w:rPr>
              <w:t>Teifion Maddocks - Sustainability Manager</w:t>
            </w:r>
          </w:p>
        </w:tc>
      </w:tr>
      <w:tr w:rsidR="00250097" w:rsidRPr="00BC0BD7" w14:paraId="1921431E" w14:textId="5CEDAC80" w:rsidTr="006C0C09">
        <w:trPr>
          <w:jc w:val="center"/>
        </w:trPr>
        <w:tc>
          <w:tcPr>
            <w:tcW w:w="2410" w:type="dxa"/>
            <w:shd w:val="clear" w:color="auto" w:fill="002060"/>
          </w:tcPr>
          <w:p w14:paraId="10D66D13" w14:textId="030E200F" w:rsidR="00250097" w:rsidRPr="00BC0BD7" w:rsidRDefault="00250097" w:rsidP="00120EB1">
            <w:pPr>
              <w:pStyle w:val="NoSpacing"/>
              <w:rPr>
                <w:b/>
              </w:rPr>
            </w:pPr>
            <w:r w:rsidRPr="00BC0BD7">
              <w:rPr>
                <w:b/>
              </w:rPr>
              <w:t>Review date:</w:t>
            </w:r>
          </w:p>
        </w:tc>
        <w:tc>
          <w:tcPr>
            <w:tcW w:w="5098" w:type="dxa"/>
          </w:tcPr>
          <w:p w14:paraId="0D232A7A" w14:textId="4BC5B676" w:rsidR="00250097" w:rsidRPr="00BC0BD7" w:rsidRDefault="00D87228" w:rsidP="00120EB1">
            <w:pPr>
              <w:pStyle w:val="NoSpacing"/>
              <w:rPr>
                <w:b/>
              </w:rPr>
            </w:pPr>
            <w:r>
              <w:rPr>
                <w:b/>
              </w:rPr>
              <w:t>*</w:t>
            </w:r>
            <w:r w:rsidRPr="00B1731A">
              <w:rPr>
                <w:bCs/>
              </w:rPr>
              <w:t>Documents will only be reviewed as and when there has been a legal or regulatory change, or a change in university processes or policy that effects the content of this procedure.</w:t>
            </w:r>
          </w:p>
        </w:tc>
      </w:tr>
      <w:tr w:rsidR="00250097" w:rsidRPr="00BC0BD7" w14:paraId="1A709172" w14:textId="77777777" w:rsidTr="006C0C09">
        <w:trPr>
          <w:jc w:val="center"/>
        </w:trPr>
        <w:tc>
          <w:tcPr>
            <w:tcW w:w="2410" w:type="dxa"/>
            <w:shd w:val="clear" w:color="auto" w:fill="002060"/>
          </w:tcPr>
          <w:p w14:paraId="2C18A39A" w14:textId="77777777" w:rsidR="00250097" w:rsidRPr="00BC0BD7" w:rsidRDefault="00250097" w:rsidP="00120EB1">
            <w:pPr>
              <w:pStyle w:val="NoSpacing"/>
              <w:rPr>
                <w:b/>
              </w:rPr>
            </w:pPr>
            <w:r w:rsidRPr="00BC0BD7">
              <w:rPr>
                <w:b/>
              </w:rPr>
              <w:t>Clause Ref:</w:t>
            </w:r>
          </w:p>
        </w:tc>
        <w:tc>
          <w:tcPr>
            <w:tcW w:w="5098" w:type="dxa"/>
          </w:tcPr>
          <w:p w14:paraId="35690EFB" w14:textId="13B8019F" w:rsidR="00250097" w:rsidRPr="00C52A4B" w:rsidRDefault="00DD45E7" w:rsidP="00120EB1">
            <w:pPr>
              <w:pStyle w:val="NoSpacing"/>
            </w:pPr>
            <w:r w:rsidRPr="00C52A4B">
              <w:t>Ecocampus and</w:t>
            </w:r>
            <w:r w:rsidR="00250097" w:rsidRPr="00C52A4B">
              <w:t xml:space="preserve"> </w:t>
            </w:r>
            <w:r w:rsidRPr="00C52A4B">
              <w:t>ISO</w:t>
            </w:r>
            <w:r w:rsidR="00120EB1" w:rsidRPr="00C52A4B">
              <w:t xml:space="preserve"> </w:t>
            </w:r>
            <w:r w:rsidRPr="00C52A4B">
              <w:t>14001(2015)</w:t>
            </w:r>
            <w:r w:rsidR="0023182A" w:rsidRPr="00C52A4B">
              <w:t>: 8.1</w:t>
            </w:r>
          </w:p>
        </w:tc>
      </w:tr>
    </w:tbl>
    <w:p w14:paraId="2DB17AA0" w14:textId="76F1EE51" w:rsidR="00C53076" w:rsidRPr="00BC0BD7" w:rsidRDefault="00954345" w:rsidP="00954345">
      <w:pPr>
        <w:tabs>
          <w:tab w:val="left" w:pos="5244"/>
        </w:tabs>
        <w:jc w:val="center"/>
        <w:rPr>
          <w:rFonts w:cs="Arial"/>
        </w:rPr>
      </w:pPr>
      <w:r w:rsidRPr="00954345">
        <w:rPr>
          <w:b/>
        </w:rPr>
        <w:t>DO NOT PRINT THIS PROCEDURE UNLESS NECESSARY</w:t>
      </w:r>
    </w:p>
    <w:p w14:paraId="65857A4A" w14:textId="77777777" w:rsidR="00C53076" w:rsidRDefault="00C53076">
      <w:pPr>
        <w:rPr>
          <w:rFonts w:cs="Arial"/>
        </w:rPr>
      </w:pPr>
    </w:p>
    <w:p w14:paraId="7208EE4B" w14:textId="5373259F" w:rsidR="000F6AB0" w:rsidRDefault="00EE2504" w:rsidP="00EE2504">
      <w:pPr>
        <w:jc w:val="center"/>
        <w:rPr>
          <w:rFonts w:cs="Arial"/>
        </w:rPr>
      </w:pPr>
      <w:r>
        <w:rPr>
          <w:rFonts w:cs="Arial"/>
          <w:noProof/>
        </w:rPr>
        <w:drawing>
          <wp:inline distT="0" distB="0" distL="0" distR="0" wp14:anchorId="2EE328C9" wp14:editId="53F75B37">
            <wp:extent cx="5353050" cy="1261745"/>
            <wp:effectExtent l="0" t="0" r="0" b="0"/>
            <wp:docPr id="14914952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3050" cy="1261745"/>
                    </a:xfrm>
                    <a:prstGeom prst="rect">
                      <a:avLst/>
                    </a:prstGeom>
                    <a:noFill/>
                  </pic:spPr>
                </pic:pic>
              </a:graphicData>
            </a:graphic>
          </wp:inline>
        </w:drawing>
      </w:r>
    </w:p>
    <w:p w14:paraId="12F3156C" w14:textId="5697619F" w:rsidR="00250097" w:rsidRPr="00BC0BD7" w:rsidRDefault="002E09CE" w:rsidP="00BF2D45">
      <w:pPr>
        <w:pStyle w:val="Title"/>
        <w:rPr>
          <w:rFonts w:cs="Arial"/>
        </w:rPr>
      </w:pPr>
      <w:r>
        <w:rPr>
          <w:rFonts w:cs="Arial"/>
        </w:rPr>
        <w:lastRenderedPageBreak/>
        <w:t xml:space="preserve">Removal and Resale of Specialist </w:t>
      </w:r>
      <w:r w:rsidR="00506CE3">
        <w:rPr>
          <w:rFonts w:cs="Arial"/>
        </w:rPr>
        <w:t xml:space="preserve">University </w:t>
      </w:r>
      <w:r>
        <w:rPr>
          <w:rFonts w:cs="Arial"/>
        </w:rPr>
        <w:t>Equipment</w:t>
      </w:r>
    </w:p>
    <w:p w14:paraId="69C310C3" w14:textId="2833D7BA" w:rsidR="00250097" w:rsidRPr="00BC0BD7" w:rsidRDefault="00250097" w:rsidP="006233DD">
      <w:pPr>
        <w:pStyle w:val="Heading1"/>
        <w:rPr>
          <w:rFonts w:eastAsia="Times New Roman" w:cs="Arial"/>
          <w:lang w:eastAsia="ja-JP"/>
        </w:rPr>
      </w:pPr>
      <w:bookmarkStart w:id="0" w:name="_Toc359486872"/>
      <w:bookmarkStart w:id="1" w:name="_Toc361656594"/>
      <w:r w:rsidRPr="00BC0BD7">
        <w:rPr>
          <w:rFonts w:eastAsia="Times New Roman" w:cs="Arial"/>
          <w:lang w:eastAsia="ja-JP"/>
        </w:rPr>
        <w:t>Purpose</w:t>
      </w:r>
      <w:bookmarkEnd w:id="0"/>
      <w:bookmarkEnd w:id="1"/>
    </w:p>
    <w:p w14:paraId="4CEF7CCB" w14:textId="608B21AE" w:rsidR="00EF4F1D" w:rsidRDefault="00975F60" w:rsidP="006233DD">
      <w:pPr>
        <w:rPr>
          <w:rFonts w:cs="Arial"/>
          <w:lang w:eastAsia="ja-JP"/>
        </w:rPr>
      </w:pPr>
      <w:r w:rsidRPr="00BC0BD7">
        <w:rPr>
          <w:rFonts w:cs="Arial"/>
          <w:lang w:eastAsia="ja-JP"/>
        </w:rPr>
        <w:t>The University is committed to ensuring all activities undertaken on its premises follow the highest possible standards of safety, health and environment</w:t>
      </w:r>
      <w:r w:rsidR="00BC22C2">
        <w:rPr>
          <w:rFonts w:cs="Arial"/>
          <w:lang w:eastAsia="ja-JP"/>
        </w:rPr>
        <w:t>al</w:t>
      </w:r>
      <w:r w:rsidR="00BC22C2" w:rsidRPr="00BC22C2">
        <w:t xml:space="preserve"> </w:t>
      </w:r>
      <w:r w:rsidR="00BC22C2" w:rsidRPr="00BC22C2">
        <w:rPr>
          <w:rFonts w:cs="Arial"/>
          <w:lang w:eastAsia="ja-JP"/>
        </w:rPr>
        <w:t>protection</w:t>
      </w:r>
      <w:r w:rsidRPr="00BC0BD7">
        <w:rPr>
          <w:rFonts w:cs="Arial"/>
          <w:lang w:eastAsia="ja-JP"/>
        </w:rPr>
        <w:t xml:space="preserve">. </w:t>
      </w:r>
    </w:p>
    <w:p w14:paraId="07AFC422" w14:textId="71C91C8C" w:rsidR="00D5491B" w:rsidRDefault="00A2031C" w:rsidP="006233DD">
      <w:pPr>
        <w:rPr>
          <w:rFonts w:cs="Arial"/>
          <w:lang w:eastAsia="ja-JP"/>
        </w:rPr>
      </w:pPr>
      <w:r w:rsidRPr="00BC0BD7">
        <w:rPr>
          <w:rFonts w:cs="Arial"/>
          <w:lang w:eastAsia="ja-JP"/>
        </w:rPr>
        <w:t xml:space="preserve">This procedure </w:t>
      </w:r>
      <w:r w:rsidR="002E09CE">
        <w:rPr>
          <w:rFonts w:cs="Arial"/>
          <w:lang w:eastAsia="ja-JP"/>
        </w:rPr>
        <w:t>demonstrate</w:t>
      </w:r>
      <w:r w:rsidR="00BC22C2">
        <w:rPr>
          <w:rFonts w:cs="Arial"/>
          <w:lang w:eastAsia="ja-JP"/>
        </w:rPr>
        <w:t>s</w:t>
      </w:r>
      <w:r w:rsidR="002E09CE">
        <w:rPr>
          <w:rFonts w:cs="Arial"/>
          <w:lang w:eastAsia="ja-JP"/>
        </w:rPr>
        <w:t xml:space="preserve"> how the University facilitates the removal and resale of specialist equipment via </w:t>
      </w:r>
      <w:hyperlink r:id="rId9" w:history="1">
        <w:r w:rsidR="00D87228">
          <w:rPr>
            <w:rStyle w:val="Hyperlink"/>
            <w:rFonts w:cs="Arial"/>
            <w:lang w:eastAsia="ja-JP"/>
          </w:rPr>
          <w:t>UniGreenScheme</w:t>
        </w:r>
      </w:hyperlink>
      <w:r w:rsidR="00C43D64">
        <w:rPr>
          <w:rStyle w:val="FootnoteReference"/>
          <w:rFonts w:cs="Arial"/>
          <w:lang w:eastAsia="ja-JP"/>
        </w:rPr>
        <w:footnoteReference w:id="1"/>
      </w:r>
      <w:r w:rsidR="002E09CE">
        <w:rPr>
          <w:rFonts w:cs="Arial"/>
          <w:lang w:eastAsia="ja-JP"/>
        </w:rPr>
        <w:t>.</w:t>
      </w:r>
      <w:r w:rsidR="00506CE3">
        <w:rPr>
          <w:rFonts w:cs="Arial"/>
          <w:lang w:eastAsia="ja-JP"/>
        </w:rPr>
        <w:t xml:space="preserve"> The scheme</w:t>
      </w:r>
      <w:r w:rsidR="00EA4DE1">
        <w:rPr>
          <w:rFonts w:cs="Arial"/>
          <w:lang w:eastAsia="ja-JP"/>
        </w:rPr>
        <w:t xml:space="preserve"> is applicable to laboratory, scientific,</w:t>
      </w:r>
      <w:r w:rsidR="001514C3">
        <w:rPr>
          <w:rFonts w:cs="Arial"/>
          <w:lang w:eastAsia="ja-JP"/>
        </w:rPr>
        <w:t xml:space="preserve"> workshop</w:t>
      </w:r>
      <w:r w:rsidR="00BC22C2">
        <w:rPr>
          <w:rFonts w:cs="Arial"/>
          <w:lang w:eastAsia="ja-JP"/>
        </w:rPr>
        <w:t xml:space="preserve"> and</w:t>
      </w:r>
      <w:r w:rsidR="00EA4DE1">
        <w:rPr>
          <w:rFonts w:cs="Arial"/>
          <w:lang w:eastAsia="ja-JP"/>
        </w:rPr>
        <w:t xml:space="preserve"> engineering equipment in addition to specialist equipment used outside of these disciplines</w:t>
      </w:r>
      <w:r w:rsidR="00856948">
        <w:rPr>
          <w:rFonts w:cs="Arial"/>
          <w:lang w:eastAsia="ja-JP"/>
        </w:rPr>
        <w:t xml:space="preserve"> (e.g. </w:t>
      </w:r>
      <w:r w:rsidR="007747D4">
        <w:rPr>
          <w:rFonts w:cs="Arial"/>
          <w:lang w:eastAsia="ja-JP"/>
        </w:rPr>
        <w:t>catering equipment)</w:t>
      </w:r>
      <w:r w:rsidR="00EA4DE1">
        <w:rPr>
          <w:rFonts w:cs="Arial"/>
          <w:lang w:eastAsia="ja-JP"/>
        </w:rPr>
        <w:t>.</w:t>
      </w:r>
    </w:p>
    <w:p w14:paraId="521EB4C4" w14:textId="7B3615FB" w:rsidR="00EF4F1D" w:rsidRPr="00BC0BD7" w:rsidRDefault="00EF4F1D" w:rsidP="00EF4F1D">
      <w:pPr>
        <w:rPr>
          <w:rFonts w:cs="Arial"/>
          <w:lang w:eastAsia="ja-JP"/>
        </w:rPr>
      </w:pPr>
      <w:r>
        <w:rPr>
          <w:rFonts w:cs="Arial"/>
          <w:lang w:eastAsia="ja-JP"/>
        </w:rPr>
        <w:t>Implementation of this procedure will reduc</w:t>
      </w:r>
      <w:r w:rsidR="003E55D2">
        <w:rPr>
          <w:rFonts w:cs="Arial"/>
          <w:lang w:eastAsia="ja-JP"/>
        </w:rPr>
        <w:t>e</w:t>
      </w:r>
      <w:r>
        <w:rPr>
          <w:rFonts w:cs="Arial"/>
          <w:lang w:eastAsia="ja-JP"/>
        </w:rPr>
        <w:t xml:space="preserve"> waste</w:t>
      </w:r>
      <w:r w:rsidR="003E55D2">
        <w:rPr>
          <w:rFonts w:cs="Arial"/>
          <w:lang w:eastAsia="ja-JP"/>
        </w:rPr>
        <w:t xml:space="preserve"> whilst </w:t>
      </w:r>
      <w:r>
        <w:rPr>
          <w:rFonts w:cs="Arial"/>
          <w:lang w:eastAsia="ja-JP"/>
        </w:rPr>
        <w:t>support</w:t>
      </w:r>
      <w:r w:rsidR="003E55D2">
        <w:rPr>
          <w:rFonts w:cs="Arial"/>
          <w:lang w:eastAsia="ja-JP"/>
        </w:rPr>
        <w:t xml:space="preserve"> environmental and </w:t>
      </w:r>
      <w:r>
        <w:rPr>
          <w:rFonts w:cs="Arial"/>
          <w:lang w:eastAsia="ja-JP"/>
        </w:rPr>
        <w:t xml:space="preserve">financial sustainability of </w:t>
      </w:r>
      <w:r w:rsidR="003E55D2">
        <w:rPr>
          <w:rFonts w:cs="Arial"/>
          <w:lang w:eastAsia="ja-JP"/>
        </w:rPr>
        <w:t>our research, teaching and campuses.</w:t>
      </w:r>
    </w:p>
    <w:p w14:paraId="52E5F87F" w14:textId="1F40573B" w:rsidR="00250097" w:rsidRPr="00BC0BD7" w:rsidRDefault="00250097" w:rsidP="006233DD">
      <w:pPr>
        <w:pStyle w:val="Heading1"/>
        <w:rPr>
          <w:rFonts w:eastAsia="Times New Roman" w:cs="Arial"/>
          <w:lang w:eastAsia="ja-JP"/>
        </w:rPr>
      </w:pPr>
      <w:bookmarkStart w:id="2" w:name="_Toc359486875"/>
      <w:bookmarkStart w:id="3" w:name="_Toc361656597"/>
      <w:r w:rsidRPr="00BC0BD7">
        <w:rPr>
          <w:rFonts w:eastAsia="Times New Roman" w:cs="Arial"/>
          <w:lang w:eastAsia="ja-JP"/>
        </w:rPr>
        <w:t>Responsibilities</w:t>
      </w:r>
      <w:bookmarkEnd w:id="2"/>
      <w:bookmarkEnd w:id="3"/>
    </w:p>
    <w:tbl>
      <w:tblPr>
        <w:tblStyle w:val="TableGrid1"/>
        <w:tblW w:w="0" w:type="auto"/>
        <w:tblLook w:val="04A0" w:firstRow="1" w:lastRow="0" w:firstColumn="1" w:lastColumn="0" w:noHBand="0" w:noVBand="1"/>
      </w:tblPr>
      <w:tblGrid>
        <w:gridCol w:w="2671"/>
        <w:gridCol w:w="6218"/>
      </w:tblGrid>
      <w:tr w:rsidR="00AD6D1B" w:rsidRPr="00BC0BD7" w14:paraId="1A4DC6D9" w14:textId="77777777" w:rsidTr="0032788C">
        <w:tc>
          <w:tcPr>
            <w:tcW w:w="2078" w:type="dxa"/>
            <w:shd w:val="clear" w:color="auto" w:fill="002060"/>
          </w:tcPr>
          <w:p w14:paraId="2BFB44E1" w14:textId="54445E69" w:rsidR="00AD6D1B" w:rsidRPr="0032788C" w:rsidRDefault="00C53841" w:rsidP="00E1742E">
            <w:pPr>
              <w:pStyle w:val="NoSpacing"/>
              <w:rPr>
                <w:rFonts w:cs="Arial"/>
                <w:b/>
                <w:bCs/>
              </w:rPr>
            </w:pPr>
            <w:r>
              <w:rPr>
                <w:rFonts w:cs="Arial"/>
                <w:b/>
                <w:bCs/>
              </w:rPr>
              <w:t>All staff</w:t>
            </w:r>
          </w:p>
        </w:tc>
        <w:tc>
          <w:tcPr>
            <w:tcW w:w="6218" w:type="dxa"/>
          </w:tcPr>
          <w:p w14:paraId="6B0AD9AE" w14:textId="75141998" w:rsidR="00AD1843" w:rsidRPr="00BC0BD7" w:rsidRDefault="00E67720" w:rsidP="009254F1">
            <w:pPr>
              <w:pStyle w:val="NoSpacing"/>
              <w:numPr>
                <w:ilvl w:val="0"/>
                <w:numId w:val="5"/>
              </w:numPr>
              <w:rPr>
                <w:rFonts w:cs="Arial"/>
              </w:rPr>
            </w:pPr>
            <w:r w:rsidRPr="00E67720">
              <w:rPr>
                <w:rFonts w:cs="Arial"/>
              </w:rPr>
              <w:t xml:space="preserve">Staff have responsibility for complying with the procedure to aid reuse and recycling of items in good working order via the </w:t>
            </w:r>
            <w:r w:rsidR="00D87228">
              <w:rPr>
                <w:rFonts w:cs="Arial"/>
              </w:rPr>
              <w:t>UniGreenScheme</w:t>
            </w:r>
            <w:r>
              <w:rPr>
                <w:rFonts w:cs="Arial"/>
              </w:rPr>
              <w:t xml:space="preserve"> platform</w:t>
            </w:r>
            <w:r w:rsidR="00BC22C2">
              <w:rPr>
                <w:rFonts w:cs="Arial"/>
              </w:rPr>
              <w:t xml:space="preserve"> and support financial sustainability</w:t>
            </w:r>
          </w:p>
        </w:tc>
      </w:tr>
      <w:tr w:rsidR="00C53841" w:rsidRPr="00BC0BD7" w14:paraId="0EF5C1EF" w14:textId="77777777" w:rsidTr="0032788C">
        <w:tc>
          <w:tcPr>
            <w:tcW w:w="2078" w:type="dxa"/>
            <w:shd w:val="clear" w:color="auto" w:fill="002060"/>
          </w:tcPr>
          <w:p w14:paraId="5F4D34B6" w14:textId="32194753" w:rsidR="00C53841" w:rsidRPr="0032788C" w:rsidRDefault="00E2096B" w:rsidP="00E1742E">
            <w:pPr>
              <w:pStyle w:val="NoSpacing"/>
              <w:rPr>
                <w:rFonts w:cs="Arial"/>
                <w:b/>
                <w:bCs/>
              </w:rPr>
            </w:pPr>
            <w:r>
              <w:rPr>
                <w:rFonts w:cs="Arial"/>
                <w:b/>
                <w:bCs/>
              </w:rPr>
              <w:t>Sustainability Team</w:t>
            </w:r>
          </w:p>
        </w:tc>
        <w:tc>
          <w:tcPr>
            <w:tcW w:w="6218" w:type="dxa"/>
          </w:tcPr>
          <w:p w14:paraId="107F231A" w14:textId="0A9AB3B0" w:rsidR="00E2096B" w:rsidRDefault="00E2096B" w:rsidP="009254F1">
            <w:pPr>
              <w:pStyle w:val="NoSpacing"/>
              <w:numPr>
                <w:ilvl w:val="0"/>
                <w:numId w:val="5"/>
              </w:numPr>
              <w:rPr>
                <w:rFonts w:cs="Arial"/>
              </w:rPr>
            </w:pPr>
            <w:r w:rsidRPr="00E2096B">
              <w:rPr>
                <w:rFonts w:cs="Arial"/>
              </w:rPr>
              <w:t>Provide advice and guidance on disposal/donation routes</w:t>
            </w:r>
            <w:r w:rsidR="0070254C">
              <w:rPr>
                <w:rFonts w:cs="Arial"/>
              </w:rPr>
              <w:t xml:space="preserve"> particularly when there are</w:t>
            </w:r>
            <w:r w:rsidRPr="00E2096B">
              <w:rPr>
                <w:rFonts w:cs="Arial"/>
              </w:rPr>
              <w:t xml:space="preserve"> large</w:t>
            </w:r>
            <w:r w:rsidR="0070254C">
              <w:rPr>
                <w:rFonts w:cs="Arial"/>
              </w:rPr>
              <w:t>r</w:t>
            </w:r>
            <w:r w:rsidRPr="00E2096B">
              <w:rPr>
                <w:rFonts w:cs="Arial"/>
              </w:rPr>
              <w:t xml:space="preserve"> quantities of </w:t>
            </w:r>
            <w:r>
              <w:rPr>
                <w:rFonts w:cs="Arial"/>
              </w:rPr>
              <w:t>equipment.</w:t>
            </w:r>
          </w:p>
          <w:p w14:paraId="2FEC1531" w14:textId="30B4EF0D" w:rsidR="00C53841" w:rsidRPr="00BC0BD7" w:rsidRDefault="00E2096B" w:rsidP="009254F1">
            <w:pPr>
              <w:pStyle w:val="NoSpacing"/>
              <w:numPr>
                <w:ilvl w:val="0"/>
                <w:numId w:val="5"/>
              </w:numPr>
              <w:rPr>
                <w:rFonts w:cs="Arial"/>
              </w:rPr>
            </w:pPr>
            <w:r>
              <w:rPr>
                <w:rFonts w:cs="Arial"/>
              </w:rPr>
              <w:t xml:space="preserve">Manage administration of the </w:t>
            </w:r>
            <w:r w:rsidR="00D87228">
              <w:rPr>
                <w:rFonts w:cs="Arial"/>
              </w:rPr>
              <w:t>UniGreenScheme</w:t>
            </w:r>
            <w:r>
              <w:rPr>
                <w:rFonts w:cs="Arial"/>
              </w:rPr>
              <w:t xml:space="preserve"> platform, monitor savings, signups </w:t>
            </w:r>
            <w:r w:rsidR="0070254C">
              <w:rPr>
                <w:rFonts w:cs="Arial"/>
              </w:rPr>
              <w:t xml:space="preserve">and promote its use </w:t>
            </w:r>
            <w:r w:rsidR="007B774B">
              <w:rPr>
                <w:rFonts w:cs="Arial"/>
              </w:rPr>
              <w:t>in line</w:t>
            </w:r>
            <w:r w:rsidR="0070254C">
              <w:rPr>
                <w:rFonts w:cs="Arial"/>
              </w:rPr>
              <w:t xml:space="preserve"> with University strategic objectives for zero waste and in support of the circular economy</w:t>
            </w:r>
            <w:r>
              <w:rPr>
                <w:rFonts w:cs="Arial"/>
              </w:rPr>
              <w:t>.</w:t>
            </w:r>
            <w:r w:rsidRPr="00E2096B">
              <w:rPr>
                <w:rFonts w:cs="Arial"/>
              </w:rPr>
              <w:t xml:space="preserve"> </w:t>
            </w:r>
          </w:p>
        </w:tc>
      </w:tr>
      <w:tr w:rsidR="0070254C" w:rsidRPr="00BC0BD7" w14:paraId="5F3F25CA" w14:textId="77777777" w:rsidTr="0032788C">
        <w:tc>
          <w:tcPr>
            <w:tcW w:w="2078" w:type="dxa"/>
            <w:shd w:val="clear" w:color="auto" w:fill="002060"/>
          </w:tcPr>
          <w:p w14:paraId="4D47B0A1" w14:textId="6DD92DE8" w:rsidR="0070254C" w:rsidRDefault="0070254C" w:rsidP="00E1742E">
            <w:pPr>
              <w:pStyle w:val="NoSpacing"/>
              <w:rPr>
                <w:rFonts w:cs="Arial"/>
                <w:b/>
                <w:bCs/>
              </w:rPr>
            </w:pPr>
            <w:r>
              <w:rPr>
                <w:rFonts w:cs="Arial"/>
                <w:b/>
                <w:bCs/>
              </w:rPr>
              <w:t>Finance/Procurement</w:t>
            </w:r>
          </w:p>
        </w:tc>
        <w:tc>
          <w:tcPr>
            <w:tcW w:w="6218" w:type="dxa"/>
          </w:tcPr>
          <w:p w14:paraId="4F3C2DCB" w14:textId="77777777" w:rsidR="0070254C" w:rsidRDefault="0070254C" w:rsidP="009254F1">
            <w:pPr>
              <w:pStyle w:val="NoSpacing"/>
              <w:numPr>
                <w:ilvl w:val="0"/>
                <w:numId w:val="5"/>
              </w:numPr>
              <w:rPr>
                <w:rFonts w:cs="Arial"/>
              </w:rPr>
            </w:pPr>
            <w:r>
              <w:rPr>
                <w:rFonts w:cs="Arial"/>
              </w:rPr>
              <w:t xml:space="preserve">Support and facilitate use </w:t>
            </w:r>
          </w:p>
          <w:p w14:paraId="524FECE0" w14:textId="664CB721" w:rsidR="0070254C" w:rsidRPr="00E2096B" w:rsidRDefault="0070254C" w:rsidP="009254F1">
            <w:pPr>
              <w:pStyle w:val="NoSpacing"/>
              <w:numPr>
                <w:ilvl w:val="0"/>
                <w:numId w:val="5"/>
              </w:numPr>
              <w:rPr>
                <w:rFonts w:cs="Arial"/>
              </w:rPr>
            </w:pPr>
            <w:r>
              <w:rPr>
                <w:rFonts w:cs="Arial"/>
              </w:rPr>
              <w:t>Build into finance and procurement mechanisms</w:t>
            </w:r>
          </w:p>
        </w:tc>
      </w:tr>
      <w:tr w:rsidR="0070254C" w:rsidRPr="00BC0BD7" w14:paraId="694549D0" w14:textId="77777777" w:rsidTr="0032788C">
        <w:tc>
          <w:tcPr>
            <w:tcW w:w="2078" w:type="dxa"/>
            <w:shd w:val="clear" w:color="auto" w:fill="002060"/>
          </w:tcPr>
          <w:p w14:paraId="3CD59714" w14:textId="3AE4CE46" w:rsidR="0070254C" w:rsidRDefault="0070254C" w:rsidP="00E1742E">
            <w:pPr>
              <w:pStyle w:val="NoSpacing"/>
              <w:rPr>
                <w:rFonts w:cs="Arial"/>
                <w:b/>
                <w:bCs/>
              </w:rPr>
            </w:pPr>
            <w:r>
              <w:rPr>
                <w:rFonts w:cs="Arial"/>
                <w:b/>
                <w:bCs/>
              </w:rPr>
              <w:t xml:space="preserve">Research &amp; Teaching </w:t>
            </w:r>
          </w:p>
        </w:tc>
        <w:tc>
          <w:tcPr>
            <w:tcW w:w="6218" w:type="dxa"/>
          </w:tcPr>
          <w:p w14:paraId="6DA419E1" w14:textId="1B65F667" w:rsidR="0070254C" w:rsidRDefault="003034E0" w:rsidP="009254F1">
            <w:pPr>
              <w:pStyle w:val="NoSpacing"/>
              <w:numPr>
                <w:ilvl w:val="0"/>
                <w:numId w:val="5"/>
              </w:numPr>
              <w:rPr>
                <w:rFonts w:cs="Arial"/>
              </w:rPr>
            </w:pPr>
            <w:r>
              <w:rPr>
                <w:rFonts w:cs="Arial"/>
              </w:rPr>
              <w:t>Incorporate reuse strategies into research and teaching bids where appropriate</w:t>
            </w:r>
            <w:r w:rsidR="001700E8">
              <w:rPr>
                <w:rFonts w:cs="Arial"/>
              </w:rPr>
              <w:t>.</w:t>
            </w:r>
          </w:p>
          <w:p w14:paraId="6911C1D0" w14:textId="0DDE7D0B" w:rsidR="003034E0" w:rsidRDefault="003034E0" w:rsidP="009254F1">
            <w:pPr>
              <w:pStyle w:val="NoSpacing"/>
              <w:numPr>
                <w:ilvl w:val="0"/>
                <w:numId w:val="5"/>
              </w:numPr>
              <w:rPr>
                <w:rFonts w:cs="Arial"/>
              </w:rPr>
            </w:pPr>
            <w:r>
              <w:rPr>
                <w:rFonts w:cs="Arial"/>
              </w:rPr>
              <w:t xml:space="preserve">Identify surplus equipment early in project planning to </w:t>
            </w:r>
            <w:r w:rsidR="005670D6">
              <w:rPr>
                <w:rFonts w:cs="Arial"/>
              </w:rPr>
              <w:t>enable sustainable reuse.</w:t>
            </w:r>
          </w:p>
        </w:tc>
      </w:tr>
      <w:tr w:rsidR="0070254C" w:rsidRPr="00BC0BD7" w14:paraId="21E89977" w14:textId="77777777" w:rsidTr="0032788C">
        <w:tc>
          <w:tcPr>
            <w:tcW w:w="2078" w:type="dxa"/>
            <w:shd w:val="clear" w:color="auto" w:fill="002060"/>
          </w:tcPr>
          <w:p w14:paraId="4788971C" w14:textId="3F514A90" w:rsidR="0070254C" w:rsidRDefault="0070254C" w:rsidP="00E1742E">
            <w:pPr>
              <w:pStyle w:val="NoSpacing"/>
              <w:rPr>
                <w:rFonts w:cs="Arial"/>
                <w:b/>
                <w:bCs/>
              </w:rPr>
            </w:pPr>
            <w:r>
              <w:rPr>
                <w:rFonts w:cs="Arial"/>
                <w:b/>
                <w:bCs/>
              </w:rPr>
              <w:t>Faculty operation staff</w:t>
            </w:r>
          </w:p>
        </w:tc>
        <w:tc>
          <w:tcPr>
            <w:tcW w:w="6218" w:type="dxa"/>
          </w:tcPr>
          <w:p w14:paraId="1171A30D" w14:textId="44A9505B" w:rsidR="0070254C" w:rsidRDefault="0070254C" w:rsidP="009254F1">
            <w:pPr>
              <w:pStyle w:val="NoSpacing"/>
              <w:numPr>
                <w:ilvl w:val="0"/>
                <w:numId w:val="5"/>
              </w:numPr>
              <w:rPr>
                <w:rFonts w:cs="Arial"/>
              </w:rPr>
            </w:pPr>
            <w:r>
              <w:rPr>
                <w:rFonts w:cs="Arial"/>
              </w:rPr>
              <w:t>Promot</w:t>
            </w:r>
            <w:r w:rsidR="003034E0">
              <w:rPr>
                <w:rFonts w:cs="Arial"/>
              </w:rPr>
              <w:t xml:space="preserve">e the use of </w:t>
            </w:r>
            <w:r w:rsidR="00D87228">
              <w:rPr>
                <w:rFonts w:cs="Arial"/>
              </w:rPr>
              <w:t>UniGreenScheme</w:t>
            </w:r>
            <w:r w:rsidR="003034E0">
              <w:rPr>
                <w:rFonts w:cs="Arial"/>
              </w:rPr>
              <w:t xml:space="preserve"> within the faculties, and encourage staff to utilise procedure</w:t>
            </w:r>
          </w:p>
          <w:p w14:paraId="5E19E164" w14:textId="175E5480" w:rsidR="003034E0" w:rsidRDefault="003034E0" w:rsidP="009254F1">
            <w:pPr>
              <w:pStyle w:val="NoSpacing"/>
              <w:numPr>
                <w:ilvl w:val="0"/>
                <w:numId w:val="5"/>
              </w:numPr>
              <w:rPr>
                <w:rFonts w:cs="Arial"/>
              </w:rPr>
            </w:pPr>
            <w:r>
              <w:rPr>
                <w:rFonts w:cs="Arial"/>
              </w:rPr>
              <w:t>Identify surplus equipment</w:t>
            </w:r>
            <w:r w:rsidR="007310AE">
              <w:rPr>
                <w:rFonts w:cs="Arial"/>
              </w:rPr>
              <w:t>.</w:t>
            </w:r>
          </w:p>
        </w:tc>
      </w:tr>
      <w:tr w:rsidR="0070254C" w:rsidRPr="00BC0BD7" w14:paraId="1E52F0BA" w14:textId="77777777" w:rsidTr="0032788C">
        <w:tc>
          <w:tcPr>
            <w:tcW w:w="2078" w:type="dxa"/>
            <w:shd w:val="clear" w:color="auto" w:fill="002060"/>
          </w:tcPr>
          <w:p w14:paraId="50434410" w14:textId="0877FA1C" w:rsidR="0070254C" w:rsidRDefault="0070254C" w:rsidP="00E1742E">
            <w:pPr>
              <w:pStyle w:val="NoSpacing"/>
              <w:rPr>
                <w:rFonts w:cs="Arial"/>
                <w:b/>
                <w:bCs/>
              </w:rPr>
            </w:pPr>
            <w:r>
              <w:rPr>
                <w:rFonts w:cs="Arial"/>
                <w:b/>
                <w:bCs/>
              </w:rPr>
              <w:t>Estates Projects</w:t>
            </w:r>
          </w:p>
        </w:tc>
        <w:tc>
          <w:tcPr>
            <w:tcW w:w="6218" w:type="dxa"/>
          </w:tcPr>
          <w:p w14:paraId="445FFC27" w14:textId="7BD9FDDA" w:rsidR="0070254C" w:rsidRDefault="003034E0" w:rsidP="009254F1">
            <w:pPr>
              <w:pStyle w:val="NoSpacing"/>
              <w:numPr>
                <w:ilvl w:val="0"/>
                <w:numId w:val="5"/>
              </w:numPr>
              <w:rPr>
                <w:rFonts w:cs="Arial"/>
              </w:rPr>
            </w:pPr>
            <w:r w:rsidRPr="003034E0">
              <w:rPr>
                <w:rFonts w:cs="Arial"/>
              </w:rPr>
              <w:t xml:space="preserve">Ensure surplus equipment from refurbishment or relocation projects are assessed for reuse through </w:t>
            </w:r>
            <w:r w:rsidR="00D87228">
              <w:rPr>
                <w:rFonts w:cs="Arial"/>
              </w:rPr>
              <w:t>UniGreenScheme</w:t>
            </w:r>
            <w:r w:rsidRPr="003034E0">
              <w:rPr>
                <w:rFonts w:cs="Arial"/>
              </w:rPr>
              <w:t>.</w:t>
            </w:r>
          </w:p>
          <w:p w14:paraId="3F96FC1E" w14:textId="32A15996" w:rsidR="003034E0" w:rsidRDefault="003034E0" w:rsidP="009254F1">
            <w:pPr>
              <w:pStyle w:val="NoSpacing"/>
              <w:numPr>
                <w:ilvl w:val="0"/>
                <w:numId w:val="5"/>
              </w:numPr>
              <w:rPr>
                <w:rFonts w:cs="Arial"/>
              </w:rPr>
            </w:pPr>
            <w:r w:rsidRPr="003034E0">
              <w:rPr>
                <w:rFonts w:cs="Arial"/>
              </w:rPr>
              <w:t>Liaise with project managers and relevant stakeholders to gain approval for item resale</w:t>
            </w:r>
            <w:r>
              <w:rPr>
                <w:rFonts w:cs="Arial"/>
              </w:rPr>
              <w:t>.</w:t>
            </w:r>
          </w:p>
        </w:tc>
      </w:tr>
    </w:tbl>
    <w:p w14:paraId="062D40F0" w14:textId="6FA987FD" w:rsidR="001E420E" w:rsidRPr="00BC0BD7" w:rsidRDefault="001E420E" w:rsidP="001E420E">
      <w:pPr>
        <w:pStyle w:val="Heading1"/>
        <w:rPr>
          <w:rFonts w:eastAsiaTheme="minorHAnsi" w:cs="Arial"/>
        </w:rPr>
      </w:pPr>
      <w:r w:rsidRPr="00BC0BD7">
        <w:rPr>
          <w:rFonts w:eastAsiaTheme="minorHAnsi" w:cs="Arial"/>
        </w:rPr>
        <w:lastRenderedPageBreak/>
        <w:t>Process</w:t>
      </w:r>
    </w:p>
    <w:p w14:paraId="08CBD3CE" w14:textId="77777777" w:rsidR="00D87228" w:rsidRDefault="00D87228" w:rsidP="00D87228">
      <w:r>
        <w:t xml:space="preserve">UniGreenScheme provides universities with the opportunity to reduce waste and resources, reduce consumption, embed the principles of circular economy across our activities and reduce our carbon emissions as an organisation. </w:t>
      </w:r>
    </w:p>
    <w:p w14:paraId="0E893B43" w14:textId="77777777" w:rsidR="00D87228" w:rsidRDefault="00D87228" w:rsidP="00D87228">
      <w:r>
        <w:t xml:space="preserve">In addition to the positive sustainability benefits, the UniGreenScheme also supports the generation of revenue for the university by getting money back for surplus equipment and enables positive space management and utilisation by removing unwanted equipment. </w:t>
      </w:r>
    </w:p>
    <w:p w14:paraId="41B3405F" w14:textId="77777777" w:rsidR="00D87228" w:rsidRDefault="00D87228" w:rsidP="00D87228"/>
    <w:p w14:paraId="14B95DD9" w14:textId="77777777" w:rsidR="00D87228" w:rsidRDefault="00D87228" w:rsidP="00D87228">
      <w:r>
        <w:t xml:space="preserve">The scheme follows a set process, which is described in the following steps: </w:t>
      </w:r>
    </w:p>
    <w:p w14:paraId="2651FF70" w14:textId="77777777" w:rsidR="00D87228" w:rsidRPr="00C32D7E" w:rsidRDefault="00D87228" w:rsidP="00D87228"/>
    <w:p w14:paraId="32C1289B" w14:textId="77777777" w:rsidR="00D87228" w:rsidRPr="00E23479" w:rsidRDefault="00D87228" w:rsidP="00D87228">
      <w:pPr>
        <w:rPr>
          <w:rFonts w:cs="Arial"/>
          <w:color w:val="1F3864" w:themeColor="accent5" w:themeShade="80"/>
        </w:rPr>
      </w:pPr>
      <w:r w:rsidRPr="00E23479">
        <w:rPr>
          <w:rFonts w:cs="Arial"/>
          <w:b/>
          <w:bCs/>
          <w:color w:val="1F3864" w:themeColor="accent5" w:themeShade="80"/>
        </w:rPr>
        <w:t>3.1 Step 1:  Identification of Surplus Equipment</w:t>
      </w:r>
    </w:p>
    <w:p w14:paraId="373F8FA3" w14:textId="77777777" w:rsidR="00D87228" w:rsidRDefault="00D87228" w:rsidP="00D87228">
      <w:pPr>
        <w:numPr>
          <w:ilvl w:val="1"/>
          <w:numId w:val="13"/>
        </w:numPr>
        <w:rPr>
          <w:rFonts w:cs="Arial"/>
        </w:rPr>
      </w:pPr>
      <w:r w:rsidRPr="003E55D2">
        <w:rPr>
          <w:rFonts w:cs="Arial"/>
        </w:rPr>
        <w:t>University staff should identify any specialist equipment that is of high quality but surplus to departmental requirements.</w:t>
      </w:r>
      <w:r>
        <w:rPr>
          <w:rFonts w:cs="Arial"/>
        </w:rPr>
        <w:t xml:space="preserve">  </w:t>
      </w:r>
    </w:p>
    <w:p w14:paraId="1C762514" w14:textId="77777777" w:rsidR="00D87228" w:rsidRPr="003E55D2" w:rsidRDefault="00D87228" w:rsidP="00D87228">
      <w:pPr>
        <w:numPr>
          <w:ilvl w:val="1"/>
          <w:numId w:val="13"/>
        </w:numPr>
        <w:rPr>
          <w:rFonts w:cs="Arial"/>
        </w:rPr>
      </w:pPr>
      <w:r>
        <w:rPr>
          <w:rFonts w:cs="Arial"/>
        </w:rPr>
        <w:t>Approval for the sale of the equipment must be obtained from all relevant stakeholders such as equipment owners, project/lab managers, faculty compliance etc.</w:t>
      </w:r>
    </w:p>
    <w:p w14:paraId="7B7920F7" w14:textId="77777777" w:rsidR="00D87228" w:rsidRDefault="00D87228" w:rsidP="00D87228">
      <w:pPr>
        <w:numPr>
          <w:ilvl w:val="1"/>
          <w:numId w:val="13"/>
        </w:numPr>
        <w:rPr>
          <w:rFonts w:cs="Arial"/>
        </w:rPr>
      </w:pPr>
      <w:r w:rsidRPr="003E55D2">
        <w:rPr>
          <w:rFonts w:cs="Arial"/>
        </w:rPr>
        <w:t>Equipment must be in a suitable condition for resale and should not contain hazardous materials unless appropriately decontaminated and certified.</w:t>
      </w:r>
    </w:p>
    <w:p w14:paraId="70F2A67A" w14:textId="77777777" w:rsidR="00D87228" w:rsidRDefault="00D87228" w:rsidP="00D87228">
      <w:pPr>
        <w:numPr>
          <w:ilvl w:val="1"/>
          <w:numId w:val="13"/>
        </w:numPr>
        <w:rPr>
          <w:rFonts w:cs="Arial"/>
        </w:rPr>
      </w:pPr>
      <w:r>
        <w:rPr>
          <w:rFonts w:cs="Arial"/>
        </w:rPr>
        <w:t xml:space="preserve">Equipment will be assessed by UniGreenScheme for suitability for sale. Please note, that not all equipment identified for potential sale by the university can or will be able to be sold by UniGreenScheme. Reasons for non-sale can include not suitable due to age, condition or demand. Where, equipment is considered not suitable by Unigreen scheme, then the correct waste disposal route for the equipment must be followed. Please contact </w:t>
      </w:r>
      <w:hyperlink r:id="rId10" w:history="1">
        <w:r w:rsidRPr="009066B7">
          <w:rPr>
            <w:rStyle w:val="Hyperlink"/>
            <w:rFonts w:cs="Arial"/>
          </w:rPr>
          <w:t>estates-waste@swansea.ac.uk</w:t>
        </w:r>
      </w:hyperlink>
      <w:r>
        <w:rPr>
          <w:rFonts w:cs="Arial"/>
        </w:rPr>
        <w:t xml:space="preserve"> for further information. </w:t>
      </w:r>
    </w:p>
    <w:p w14:paraId="27E9952D" w14:textId="77777777" w:rsidR="00D87228" w:rsidRPr="003E55D2" w:rsidRDefault="00D87228" w:rsidP="00D87228">
      <w:pPr>
        <w:numPr>
          <w:ilvl w:val="1"/>
          <w:numId w:val="13"/>
        </w:numPr>
        <w:rPr>
          <w:rFonts w:cs="Arial"/>
        </w:rPr>
      </w:pPr>
      <w:r>
        <w:rPr>
          <w:rFonts w:cs="Arial"/>
        </w:rPr>
        <w:t>Once UniGreenScheme has confirmed they are able to proceed with a sale the following processes will take place.</w:t>
      </w:r>
    </w:p>
    <w:p w14:paraId="470CA6C1" w14:textId="77777777" w:rsidR="00D87228" w:rsidRPr="00E23479" w:rsidRDefault="00D87228" w:rsidP="00D87228">
      <w:pPr>
        <w:rPr>
          <w:rFonts w:cs="Arial"/>
          <w:color w:val="1F3864" w:themeColor="accent5" w:themeShade="80"/>
        </w:rPr>
      </w:pPr>
      <w:r w:rsidRPr="00E23479">
        <w:rPr>
          <w:rFonts w:cs="Arial"/>
          <w:b/>
          <w:bCs/>
          <w:color w:val="1F3864" w:themeColor="accent5" w:themeShade="80"/>
        </w:rPr>
        <w:t>3.2 Step 2: Listing Equipment on UniGreenScheme</w:t>
      </w:r>
    </w:p>
    <w:p w14:paraId="4B6617EC" w14:textId="77777777" w:rsidR="00D87228" w:rsidRDefault="00D87228" w:rsidP="00D87228">
      <w:pPr>
        <w:numPr>
          <w:ilvl w:val="1"/>
          <w:numId w:val="13"/>
        </w:numPr>
        <w:rPr>
          <w:rFonts w:cs="Arial"/>
        </w:rPr>
      </w:pPr>
      <w:r w:rsidRPr="003E55D2">
        <w:rPr>
          <w:rFonts w:cs="Arial"/>
        </w:rPr>
        <w:t xml:space="preserve">Approved items are to be listed for sale on the </w:t>
      </w:r>
      <w:r>
        <w:rPr>
          <w:rFonts w:cs="Arial"/>
        </w:rPr>
        <w:t>UniGreenScheme</w:t>
      </w:r>
      <w:r w:rsidRPr="003E55D2">
        <w:rPr>
          <w:rFonts w:cs="Arial"/>
        </w:rPr>
        <w:t xml:space="preserve"> online platform</w:t>
      </w:r>
      <w:r>
        <w:rPr>
          <w:rFonts w:cs="Arial"/>
        </w:rPr>
        <w:t xml:space="preserve">, with an agreed percentage of proceeds agreed between the seller and Unigreen scheme prior to listing (please see section 4). </w:t>
      </w:r>
    </w:p>
    <w:p w14:paraId="26B0A276" w14:textId="77777777" w:rsidR="00D87228" w:rsidRPr="003E55D2" w:rsidRDefault="00D87228" w:rsidP="00D87228">
      <w:pPr>
        <w:numPr>
          <w:ilvl w:val="1"/>
          <w:numId w:val="13"/>
        </w:numPr>
        <w:rPr>
          <w:rFonts w:cs="Arial"/>
        </w:rPr>
      </w:pPr>
      <w:r>
        <w:rPr>
          <w:rFonts w:cs="Arial"/>
        </w:rPr>
        <w:t xml:space="preserve">Please note, percentages and profit per item to the university can vary depending on a number of factors including demand, quality, condition and size of the equipment. Please note that the seller is not under any obligation to list the equipment with UniGreenScheme if they are not content with the agreed financial package. In this instance equipment can be privately sold, transferred to another owner or disposed of by </w:t>
      </w:r>
      <w:r>
        <w:rPr>
          <w:rFonts w:cs="Arial"/>
        </w:rPr>
        <w:lastRenderedPageBreak/>
        <w:t xml:space="preserve">following the correct waste management process including the completion of the correct paperwork for ownership transfer. For further support with this please contact </w:t>
      </w:r>
      <w:hyperlink r:id="rId11" w:history="1">
        <w:r w:rsidRPr="009066B7">
          <w:rPr>
            <w:rStyle w:val="Hyperlink"/>
            <w:rFonts w:cs="Arial"/>
          </w:rPr>
          <w:t>estates-waste@swansea.ac.uk</w:t>
        </w:r>
      </w:hyperlink>
      <w:r>
        <w:rPr>
          <w:rFonts w:cs="Arial"/>
        </w:rPr>
        <w:t xml:space="preserve"> </w:t>
      </w:r>
    </w:p>
    <w:p w14:paraId="615547A8" w14:textId="77777777" w:rsidR="00D87228" w:rsidRDefault="00D87228" w:rsidP="00D87228">
      <w:pPr>
        <w:numPr>
          <w:ilvl w:val="1"/>
          <w:numId w:val="13"/>
        </w:numPr>
        <w:rPr>
          <w:rFonts w:cs="Arial"/>
        </w:rPr>
      </w:pPr>
      <w:r w:rsidRPr="003E55D2">
        <w:rPr>
          <w:rFonts w:cs="Arial"/>
        </w:rPr>
        <w:t>Staff should provide accurate descriptions, photographs, and relevant details</w:t>
      </w:r>
      <w:r>
        <w:rPr>
          <w:rFonts w:cs="Arial"/>
        </w:rPr>
        <w:t xml:space="preserve"> and documentation</w:t>
      </w:r>
      <w:r w:rsidRPr="003E55D2">
        <w:rPr>
          <w:rFonts w:cs="Arial"/>
        </w:rPr>
        <w:t xml:space="preserve"> to support the resale of the equipment.</w:t>
      </w:r>
    </w:p>
    <w:p w14:paraId="1FAADA1D" w14:textId="3F4B8C84" w:rsidR="00D87228" w:rsidRPr="003E55D2" w:rsidRDefault="00D87228" w:rsidP="00D87228">
      <w:pPr>
        <w:numPr>
          <w:ilvl w:val="1"/>
          <w:numId w:val="13"/>
        </w:numPr>
        <w:rPr>
          <w:rFonts w:cs="Arial"/>
        </w:rPr>
      </w:pPr>
      <w:r>
        <w:rPr>
          <w:rFonts w:cs="Arial"/>
        </w:rPr>
        <w:t>For detailed information and step by step guide on how to list an item on UniGreenScheme</w:t>
      </w:r>
      <w:r w:rsidR="006C0C09">
        <w:rPr>
          <w:rFonts w:cs="Arial"/>
        </w:rPr>
        <w:t>.</w:t>
      </w:r>
    </w:p>
    <w:p w14:paraId="787E5B74" w14:textId="77777777" w:rsidR="00D87228" w:rsidRPr="00E23479" w:rsidRDefault="00D87228" w:rsidP="00D87228">
      <w:pPr>
        <w:rPr>
          <w:rFonts w:cs="Arial"/>
          <w:color w:val="1F3864" w:themeColor="accent5" w:themeShade="80"/>
        </w:rPr>
      </w:pPr>
      <w:r w:rsidRPr="00E23479">
        <w:rPr>
          <w:rFonts w:cs="Arial"/>
          <w:b/>
          <w:bCs/>
          <w:color w:val="1F3864" w:themeColor="accent5" w:themeShade="80"/>
        </w:rPr>
        <w:t>3.3 Step 3: Collection and Storage</w:t>
      </w:r>
    </w:p>
    <w:p w14:paraId="228777F0" w14:textId="77777777" w:rsidR="00D87228" w:rsidRPr="003E55D2" w:rsidRDefault="00D87228" w:rsidP="00D87228">
      <w:pPr>
        <w:numPr>
          <w:ilvl w:val="1"/>
          <w:numId w:val="13"/>
        </w:numPr>
        <w:rPr>
          <w:rFonts w:cs="Arial"/>
        </w:rPr>
      </w:pPr>
      <w:r w:rsidRPr="003E55D2">
        <w:rPr>
          <w:rFonts w:cs="Arial"/>
        </w:rPr>
        <w:t xml:space="preserve">Once listed, </w:t>
      </w:r>
      <w:r>
        <w:rPr>
          <w:rFonts w:cs="Arial"/>
        </w:rPr>
        <w:t>UniGreenScheme</w:t>
      </w:r>
      <w:r w:rsidRPr="003E55D2">
        <w:rPr>
          <w:rFonts w:cs="Arial"/>
        </w:rPr>
        <w:t xml:space="preserve"> will arrange for the collection and secure storage of the equipment pending sale.</w:t>
      </w:r>
    </w:p>
    <w:p w14:paraId="42110356" w14:textId="77777777" w:rsidR="00D87228" w:rsidRPr="003E55D2" w:rsidRDefault="00D87228" w:rsidP="00D87228">
      <w:pPr>
        <w:numPr>
          <w:ilvl w:val="1"/>
          <w:numId w:val="13"/>
        </w:numPr>
        <w:rPr>
          <w:rFonts w:cs="Arial"/>
        </w:rPr>
      </w:pPr>
      <w:r w:rsidRPr="003E55D2">
        <w:rPr>
          <w:rFonts w:cs="Arial"/>
        </w:rPr>
        <w:t xml:space="preserve">Items will be held and managed by </w:t>
      </w:r>
      <w:r>
        <w:rPr>
          <w:rFonts w:cs="Arial"/>
        </w:rPr>
        <w:t>UniGreenScheme</w:t>
      </w:r>
      <w:r w:rsidRPr="003E55D2">
        <w:rPr>
          <w:rFonts w:cs="Arial"/>
        </w:rPr>
        <w:t xml:space="preserve"> until they are purchased or otherwise processed.</w:t>
      </w:r>
    </w:p>
    <w:p w14:paraId="21B9C938" w14:textId="77777777" w:rsidR="00D87228" w:rsidRPr="00E23479" w:rsidRDefault="00D87228" w:rsidP="00D87228">
      <w:pPr>
        <w:rPr>
          <w:rFonts w:cs="Arial"/>
          <w:color w:val="1F3864" w:themeColor="accent5" w:themeShade="80"/>
        </w:rPr>
      </w:pPr>
      <w:r w:rsidRPr="00E23479">
        <w:rPr>
          <w:rFonts w:cs="Arial"/>
          <w:b/>
          <w:bCs/>
          <w:color w:val="1F3864" w:themeColor="accent5" w:themeShade="80"/>
        </w:rPr>
        <w:t>3.4 Step 4:  Sale and Revenue Return</w:t>
      </w:r>
    </w:p>
    <w:p w14:paraId="6F692E0D" w14:textId="77777777" w:rsidR="00D87228" w:rsidRPr="003E55D2" w:rsidRDefault="00D87228" w:rsidP="00D87228">
      <w:pPr>
        <w:numPr>
          <w:ilvl w:val="1"/>
          <w:numId w:val="13"/>
        </w:numPr>
        <w:rPr>
          <w:rFonts w:cs="Arial"/>
        </w:rPr>
      </w:pPr>
      <w:r w:rsidRPr="003E55D2">
        <w:rPr>
          <w:rFonts w:cs="Arial"/>
        </w:rPr>
        <w:t>When equipment is sold, revenue from the sale will be credited back to the originating department via the appropriate budget code.</w:t>
      </w:r>
    </w:p>
    <w:p w14:paraId="31189838" w14:textId="77777777" w:rsidR="00D87228" w:rsidRPr="003E55D2" w:rsidRDefault="00D87228" w:rsidP="00D87228">
      <w:pPr>
        <w:numPr>
          <w:ilvl w:val="1"/>
          <w:numId w:val="13"/>
        </w:numPr>
        <w:rPr>
          <w:rFonts w:cs="Arial"/>
        </w:rPr>
      </w:pPr>
      <w:r w:rsidRPr="003E55D2">
        <w:rPr>
          <w:rFonts w:cs="Arial"/>
        </w:rPr>
        <w:t>Departments will be notified of the sale and associated financial transaction.</w:t>
      </w:r>
    </w:p>
    <w:p w14:paraId="17945A9D" w14:textId="77777777" w:rsidR="00D87228" w:rsidRPr="00E23479" w:rsidRDefault="00D87228" w:rsidP="00D87228">
      <w:pPr>
        <w:rPr>
          <w:rFonts w:cs="Arial"/>
          <w:color w:val="1F3864" w:themeColor="accent5" w:themeShade="80"/>
        </w:rPr>
      </w:pPr>
      <w:r w:rsidRPr="00E23479">
        <w:rPr>
          <w:rFonts w:cs="Arial"/>
          <w:b/>
          <w:bCs/>
          <w:color w:val="1F3864" w:themeColor="accent5" w:themeShade="80"/>
        </w:rPr>
        <w:t>3.5 Duration of Agreement</w:t>
      </w:r>
    </w:p>
    <w:p w14:paraId="3164EA57" w14:textId="77777777" w:rsidR="00D87228" w:rsidRPr="003E55D2" w:rsidRDefault="00D87228" w:rsidP="00D87228">
      <w:pPr>
        <w:numPr>
          <w:ilvl w:val="1"/>
          <w:numId w:val="13"/>
        </w:numPr>
        <w:rPr>
          <w:rFonts w:cs="Arial"/>
        </w:rPr>
      </w:pPr>
      <w:r w:rsidRPr="003E55D2">
        <w:rPr>
          <w:rFonts w:cs="Arial"/>
        </w:rPr>
        <w:t xml:space="preserve">Swansea University’s service agreement with </w:t>
      </w:r>
      <w:r>
        <w:rPr>
          <w:rFonts w:cs="Arial"/>
        </w:rPr>
        <w:t>UniGreenScheme</w:t>
      </w:r>
      <w:r w:rsidRPr="003E55D2">
        <w:rPr>
          <w:rFonts w:cs="Arial"/>
        </w:rPr>
        <w:t xml:space="preserve"> is in place until </w:t>
      </w:r>
      <w:r w:rsidRPr="003E55D2">
        <w:rPr>
          <w:rFonts w:cs="Arial"/>
          <w:b/>
          <w:bCs/>
        </w:rPr>
        <w:t>June 2030</w:t>
      </w:r>
      <w:r w:rsidRPr="003E55D2">
        <w:rPr>
          <w:rFonts w:cs="Arial"/>
        </w:rPr>
        <w:t>.</w:t>
      </w:r>
    </w:p>
    <w:p w14:paraId="077ED304" w14:textId="77777777" w:rsidR="00D87228" w:rsidRPr="003E55D2" w:rsidRDefault="00D87228" w:rsidP="00D87228">
      <w:pPr>
        <w:numPr>
          <w:ilvl w:val="1"/>
          <w:numId w:val="13"/>
        </w:numPr>
        <w:rPr>
          <w:rFonts w:cs="Arial"/>
        </w:rPr>
      </w:pPr>
      <w:r w:rsidRPr="003E55D2">
        <w:rPr>
          <w:rFonts w:cs="Arial"/>
        </w:rPr>
        <w:t>All relevant departments should continue to follow this process for eligible surplus equipment throughout the duration of the agreement.</w:t>
      </w:r>
    </w:p>
    <w:p w14:paraId="5F229A15" w14:textId="77777777" w:rsidR="00063459" w:rsidRDefault="00063459" w:rsidP="00063459">
      <w:pPr>
        <w:pStyle w:val="ListParagraph"/>
        <w:rPr>
          <w:rFonts w:cs="Arial"/>
        </w:rPr>
      </w:pPr>
    </w:p>
    <w:p w14:paraId="555BA10E" w14:textId="77777777" w:rsidR="00333230" w:rsidRPr="00063459" w:rsidRDefault="00333230" w:rsidP="00063459">
      <w:pPr>
        <w:pStyle w:val="ListParagraph"/>
        <w:rPr>
          <w:rFonts w:cs="Arial"/>
        </w:rPr>
      </w:pPr>
    </w:p>
    <w:p w14:paraId="6B48CD6C" w14:textId="6B3E96CE" w:rsidR="00D87228" w:rsidRPr="00BC0BD7" w:rsidRDefault="00D87228" w:rsidP="00D87228">
      <w:pPr>
        <w:pStyle w:val="Heading1"/>
        <w:rPr>
          <w:rFonts w:eastAsiaTheme="minorHAnsi" w:cs="Arial"/>
        </w:rPr>
      </w:pPr>
      <w:r>
        <w:rPr>
          <w:rFonts w:eastAsiaTheme="minorHAnsi" w:cs="Arial"/>
        </w:rPr>
        <w:t>Service Options</w:t>
      </w:r>
    </w:p>
    <w:p w14:paraId="7D3C5E33" w14:textId="77777777" w:rsidR="00D87228" w:rsidRDefault="00D87228" w:rsidP="00D87228">
      <w:pPr>
        <w:rPr>
          <w:rFonts w:cs="Arial"/>
        </w:rPr>
      </w:pPr>
      <w:r>
        <w:rPr>
          <w:rFonts w:cs="Arial"/>
        </w:rPr>
        <w:t>UniGreenScheme offers 4 service options, detailed below. The options available will vary on a number of issues and details and will need to be confirmed by UniGreenScheme.</w:t>
      </w:r>
    </w:p>
    <w:p w14:paraId="0FF6BB86" w14:textId="77777777" w:rsidR="00D87228" w:rsidRDefault="00D87228" w:rsidP="00D87228">
      <w:pPr>
        <w:rPr>
          <w:rFonts w:cs="Arial"/>
        </w:rPr>
      </w:pPr>
    </w:p>
    <w:p w14:paraId="0784B3DD" w14:textId="77777777" w:rsidR="00D87228" w:rsidRDefault="00D87228" w:rsidP="00D87228">
      <w:pPr>
        <w:pStyle w:val="Heading3"/>
        <w:numPr>
          <w:ilvl w:val="0"/>
          <w:numId w:val="0"/>
        </w:numPr>
        <w:ind w:left="720" w:hanging="720"/>
        <w:rPr>
          <w:rFonts w:cs="Arial"/>
          <w:lang w:eastAsia="ja-JP"/>
        </w:rPr>
      </w:pPr>
      <w:r>
        <w:rPr>
          <w:rFonts w:cs="Arial"/>
          <w:lang w:eastAsia="ja-JP"/>
        </w:rPr>
        <w:t>4.1 Option 1:  Eco Rebate</w:t>
      </w:r>
    </w:p>
    <w:p w14:paraId="08F4D0E6" w14:textId="77777777" w:rsidR="00D87228" w:rsidRDefault="00D87228" w:rsidP="00D87228">
      <w:pPr>
        <w:rPr>
          <w:lang w:eastAsia="ja-JP"/>
        </w:rPr>
      </w:pPr>
      <w:r>
        <w:rPr>
          <w:lang w:eastAsia="ja-JP"/>
        </w:rPr>
        <w:t>Equipment is collected, stored and sold with a report on the environmental benefits of the reuse of the items provided.</w:t>
      </w:r>
    </w:p>
    <w:p w14:paraId="32FEB018" w14:textId="77777777" w:rsidR="00D87228" w:rsidRDefault="00D87228" w:rsidP="00D87228">
      <w:pPr>
        <w:rPr>
          <w:lang w:eastAsia="ja-JP"/>
        </w:rPr>
      </w:pPr>
      <w:r>
        <w:rPr>
          <w:lang w:eastAsia="ja-JP"/>
        </w:rPr>
        <w:t>Typically used for:</w:t>
      </w:r>
    </w:p>
    <w:p w14:paraId="6FB64675" w14:textId="77777777" w:rsidR="00D87228" w:rsidRDefault="00D87228" w:rsidP="00D87228">
      <w:pPr>
        <w:pStyle w:val="ListParagraph"/>
        <w:numPr>
          <w:ilvl w:val="0"/>
          <w:numId w:val="9"/>
        </w:numPr>
        <w:rPr>
          <w:lang w:eastAsia="ja-JP"/>
        </w:rPr>
      </w:pPr>
      <w:r>
        <w:rPr>
          <w:lang w:eastAsia="ja-JP"/>
        </w:rPr>
        <w:t>Smaller, lower value items</w:t>
      </w:r>
    </w:p>
    <w:p w14:paraId="3EB9EA1E" w14:textId="77777777" w:rsidR="00D87228" w:rsidRDefault="00D87228" w:rsidP="00D87228">
      <w:pPr>
        <w:pStyle w:val="ListParagraph"/>
        <w:numPr>
          <w:ilvl w:val="0"/>
          <w:numId w:val="9"/>
        </w:numPr>
        <w:rPr>
          <w:lang w:eastAsia="ja-JP"/>
        </w:rPr>
      </w:pPr>
      <w:r>
        <w:rPr>
          <w:lang w:eastAsia="ja-JP"/>
        </w:rPr>
        <w:t>Regaining space quickly</w:t>
      </w:r>
    </w:p>
    <w:p w14:paraId="7D576539" w14:textId="77777777" w:rsidR="00D87228" w:rsidRDefault="00D87228" w:rsidP="00D87228">
      <w:pPr>
        <w:pStyle w:val="ListParagraph"/>
        <w:numPr>
          <w:ilvl w:val="0"/>
          <w:numId w:val="9"/>
        </w:numPr>
        <w:rPr>
          <w:lang w:eastAsia="ja-JP"/>
        </w:rPr>
      </w:pPr>
      <w:r>
        <w:rPr>
          <w:lang w:eastAsia="ja-JP"/>
        </w:rPr>
        <w:t>Helping to achieve sustainability goals</w:t>
      </w:r>
    </w:p>
    <w:p w14:paraId="1CD3443B" w14:textId="77777777" w:rsidR="00D87228" w:rsidRPr="00E41ABC" w:rsidRDefault="00D87228" w:rsidP="00D87228">
      <w:pPr>
        <w:rPr>
          <w:lang w:eastAsia="ja-JP"/>
        </w:rPr>
      </w:pPr>
    </w:p>
    <w:p w14:paraId="6FED3D1C" w14:textId="77777777" w:rsidR="00D87228" w:rsidRDefault="00D87228" w:rsidP="00D87228">
      <w:pPr>
        <w:pStyle w:val="Heading3"/>
        <w:numPr>
          <w:ilvl w:val="0"/>
          <w:numId w:val="0"/>
        </w:numPr>
        <w:ind w:left="720" w:hanging="720"/>
        <w:rPr>
          <w:rFonts w:cs="Arial"/>
          <w:lang w:eastAsia="ja-JP"/>
        </w:rPr>
      </w:pPr>
      <w:r>
        <w:rPr>
          <w:rFonts w:cs="Arial"/>
          <w:lang w:eastAsia="ja-JP"/>
        </w:rPr>
        <w:lastRenderedPageBreak/>
        <w:t>4.2 Option 2: Profit share:</w:t>
      </w:r>
    </w:p>
    <w:p w14:paraId="7B4E456B" w14:textId="77777777" w:rsidR="00D87228" w:rsidRDefault="00D87228" w:rsidP="00D87228">
      <w:pPr>
        <w:rPr>
          <w:lang w:eastAsia="ja-JP"/>
        </w:rPr>
      </w:pPr>
      <w:r>
        <w:rPr>
          <w:lang w:eastAsia="ja-JP"/>
        </w:rPr>
        <w:t>Equipment is collected, stored and sold by UniGreenScheme with a return share of the proceeds once sold.</w:t>
      </w:r>
    </w:p>
    <w:p w14:paraId="04CA0998" w14:textId="77777777" w:rsidR="00D87228" w:rsidRDefault="00D87228" w:rsidP="00D87228">
      <w:pPr>
        <w:rPr>
          <w:lang w:eastAsia="ja-JP"/>
        </w:rPr>
      </w:pPr>
      <w:r>
        <w:rPr>
          <w:lang w:eastAsia="ja-JP"/>
        </w:rPr>
        <w:t>Typically used for:</w:t>
      </w:r>
    </w:p>
    <w:p w14:paraId="55DEB91A" w14:textId="77777777" w:rsidR="00D87228" w:rsidRDefault="00D87228" w:rsidP="00D87228">
      <w:pPr>
        <w:pStyle w:val="ListParagraph"/>
        <w:numPr>
          <w:ilvl w:val="0"/>
          <w:numId w:val="10"/>
        </w:numPr>
        <w:rPr>
          <w:lang w:eastAsia="ja-JP"/>
        </w:rPr>
      </w:pPr>
      <w:r>
        <w:rPr>
          <w:lang w:eastAsia="ja-JP"/>
        </w:rPr>
        <w:t>Difficult to value items</w:t>
      </w:r>
    </w:p>
    <w:p w14:paraId="5C6FECB7" w14:textId="77777777" w:rsidR="00D87228" w:rsidRDefault="00D87228" w:rsidP="00D87228">
      <w:pPr>
        <w:pStyle w:val="ListParagraph"/>
        <w:numPr>
          <w:ilvl w:val="0"/>
          <w:numId w:val="10"/>
        </w:numPr>
        <w:rPr>
          <w:lang w:eastAsia="ja-JP"/>
        </w:rPr>
      </w:pPr>
      <w:r>
        <w:rPr>
          <w:lang w:eastAsia="ja-JP"/>
        </w:rPr>
        <w:t>Low/mid-priced items</w:t>
      </w:r>
    </w:p>
    <w:p w14:paraId="4CD91341" w14:textId="77777777" w:rsidR="00D87228" w:rsidRPr="00C50604" w:rsidRDefault="00D87228" w:rsidP="00D87228">
      <w:pPr>
        <w:rPr>
          <w:b/>
          <w:bCs/>
          <w:i/>
          <w:iCs/>
          <w:lang w:eastAsia="ja-JP"/>
        </w:rPr>
      </w:pPr>
      <w:r w:rsidRPr="00C50604">
        <w:rPr>
          <w:b/>
          <w:bCs/>
          <w:i/>
          <w:iCs/>
          <w:lang w:eastAsia="ja-JP"/>
        </w:rPr>
        <w:t>See Appendix 1 for example.</w:t>
      </w:r>
    </w:p>
    <w:p w14:paraId="3EC4783C" w14:textId="77777777" w:rsidR="00D87228" w:rsidRPr="00B72E58" w:rsidRDefault="00D87228" w:rsidP="00D87228">
      <w:pPr>
        <w:rPr>
          <w:color w:val="EE0000"/>
          <w:lang w:eastAsia="ja-JP"/>
        </w:rPr>
      </w:pPr>
    </w:p>
    <w:p w14:paraId="1245648D" w14:textId="77777777" w:rsidR="00D87228" w:rsidRDefault="00D87228" w:rsidP="00D87228">
      <w:pPr>
        <w:pStyle w:val="Heading3"/>
        <w:numPr>
          <w:ilvl w:val="0"/>
          <w:numId w:val="0"/>
        </w:numPr>
        <w:ind w:left="720" w:hanging="720"/>
        <w:rPr>
          <w:rFonts w:cs="Arial"/>
          <w:lang w:eastAsia="ja-JP"/>
        </w:rPr>
      </w:pPr>
      <w:r>
        <w:rPr>
          <w:rFonts w:cs="Arial"/>
          <w:lang w:eastAsia="ja-JP"/>
        </w:rPr>
        <w:t>4.3 Option 3: Outright purchase (fixed price):</w:t>
      </w:r>
    </w:p>
    <w:p w14:paraId="0B2F2508" w14:textId="77777777" w:rsidR="00D87228" w:rsidRDefault="00D87228" w:rsidP="00D87228">
      <w:pPr>
        <w:rPr>
          <w:lang w:eastAsia="ja-JP"/>
        </w:rPr>
      </w:pPr>
      <w:r>
        <w:rPr>
          <w:lang w:eastAsia="ja-JP"/>
        </w:rPr>
        <w:t>UniGreenScheme will buy your item outright for an agreed price.</w:t>
      </w:r>
    </w:p>
    <w:p w14:paraId="2AAC530A" w14:textId="77777777" w:rsidR="00D87228" w:rsidRDefault="00D87228" w:rsidP="00D87228">
      <w:pPr>
        <w:rPr>
          <w:lang w:eastAsia="ja-JP"/>
        </w:rPr>
      </w:pPr>
      <w:r>
        <w:rPr>
          <w:lang w:eastAsia="ja-JP"/>
        </w:rPr>
        <w:t>Typically used for:</w:t>
      </w:r>
    </w:p>
    <w:p w14:paraId="2FFA63C7" w14:textId="77777777" w:rsidR="00D87228" w:rsidRDefault="00D87228" w:rsidP="00D87228">
      <w:pPr>
        <w:pStyle w:val="ListParagraph"/>
        <w:numPr>
          <w:ilvl w:val="0"/>
          <w:numId w:val="11"/>
        </w:numPr>
        <w:rPr>
          <w:lang w:eastAsia="ja-JP"/>
        </w:rPr>
      </w:pPr>
      <w:r>
        <w:rPr>
          <w:lang w:eastAsia="ja-JP"/>
        </w:rPr>
        <w:t>Items that are easy to value</w:t>
      </w:r>
    </w:p>
    <w:p w14:paraId="33D28529" w14:textId="77777777" w:rsidR="00D87228" w:rsidRDefault="00D87228" w:rsidP="00D87228">
      <w:pPr>
        <w:pStyle w:val="ListParagraph"/>
        <w:numPr>
          <w:ilvl w:val="0"/>
          <w:numId w:val="11"/>
        </w:numPr>
        <w:rPr>
          <w:lang w:eastAsia="ja-JP"/>
        </w:rPr>
      </w:pPr>
      <w:r>
        <w:rPr>
          <w:lang w:eastAsia="ja-JP"/>
        </w:rPr>
        <w:t>Quick recouping of space</w:t>
      </w:r>
    </w:p>
    <w:p w14:paraId="2E4B54C1" w14:textId="77777777" w:rsidR="00D87228" w:rsidRPr="00B72E58" w:rsidRDefault="00D87228" w:rsidP="00D87228">
      <w:pPr>
        <w:pStyle w:val="ListParagraph"/>
        <w:rPr>
          <w:lang w:eastAsia="ja-JP"/>
        </w:rPr>
      </w:pPr>
    </w:p>
    <w:p w14:paraId="1AFF484E" w14:textId="77777777" w:rsidR="00D87228" w:rsidRDefault="00D87228" w:rsidP="00D87228">
      <w:pPr>
        <w:pStyle w:val="Heading3"/>
        <w:numPr>
          <w:ilvl w:val="0"/>
          <w:numId w:val="0"/>
        </w:numPr>
        <w:ind w:left="720" w:hanging="720"/>
        <w:rPr>
          <w:rFonts w:cs="Arial"/>
          <w:lang w:eastAsia="ja-JP"/>
        </w:rPr>
      </w:pPr>
      <w:r>
        <w:rPr>
          <w:rFonts w:cs="Arial"/>
          <w:lang w:eastAsia="ja-JP"/>
        </w:rPr>
        <w:t>4.4 Option 4: Brokering:</w:t>
      </w:r>
    </w:p>
    <w:p w14:paraId="4E85AA28" w14:textId="77777777" w:rsidR="00D87228" w:rsidRDefault="00D87228" w:rsidP="00D87228">
      <w:pPr>
        <w:rPr>
          <w:lang w:eastAsia="ja-JP"/>
        </w:rPr>
      </w:pPr>
      <w:r>
        <w:rPr>
          <w:lang w:eastAsia="ja-JP"/>
        </w:rPr>
        <w:t>UniGreenScheme list, promote and market the item and charge a commission once the item is sold.</w:t>
      </w:r>
    </w:p>
    <w:p w14:paraId="78DDA7DB" w14:textId="77777777" w:rsidR="00D87228" w:rsidRDefault="00D87228" w:rsidP="00D87228">
      <w:pPr>
        <w:rPr>
          <w:lang w:eastAsia="ja-JP"/>
        </w:rPr>
      </w:pPr>
      <w:r>
        <w:rPr>
          <w:lang w:eastAsia="ja-JP"/>
        </w:rPr>
        <w:t>Brokering it mainly for high value, large and difficult to move and store items – e.g. wind tunnels, wave machines etc.</w:t>
      </w:r>
    </w:p>
    <w:p w14:paraId="6A7D68E7" w14:textId="77777777" w:rsidR="00D87228" w:rsidRDefault="00D87228" w:rsidP="00D87228">
      <w:pPr>
        <w:rPr>
          <w:lang w:eastAsia="ja-JP"/>
        </w:rPr>
      </w:pPr>
      <w:r>
        <w:rPr>
          <w:lang w:eastAsia="ja-JP"/>
        </w:rPr>
        <w:t>Typically used for:</w:t>
      </w:r>
    </w:p>
    <w:p w14:paraId="682E58EE" w14:textId="77777777" w:rsidR="00D87228" w:rsidRDefault="00D87228" w:rsidP="00D87228">
      <w:pPr>
        <w:pStyle w:val="ListParagraph"/>
        <w:numPr>
          <w:ilvl w:val="0"/>
          <w:numId w:val="12"/>
        </w:numPr>
        <w:rPr>
          <w:lang w:eastAsia="ja-JP"/>
        </w:rPr>
      </w:pPr>
      <w:r>
        <w:rPr>
          <w:lang w:eastAsia="ja-JP"/>
        </w:rPr>
        <w:t>Higher value items</w:t>
      </w:r>
    </w:p>
    <w:p w14:paraId="55169BB2" w14:textId="77777777" w:rsidR="00D87228" w:rsidRPr="00B72E58" w:rsidRDefault="00D87228" w:rsidP="00D87228">
      <w:pPr>
        <w:pStyle w:val="ListParagraph"/>
        <w:numPr>
          <w:ilvl w:val="0"/>
          <w:numId w:val="12"/>
        </w:numPr>
        <w:rPr>
          <w:lang w:eastAsia="ja-JP"/>
        </w:rPr>
      </w:pPr>
      <w:r>
        <w:rPr>
          <w:lang w:eastAsia="ja-JP"/>
        </w:rPr>
        <w:t>Retaining assets until it sells</w:t>
      </w:r>
    </w:p>
    <w:p w14:paraId="431E0912" w14:textId="77777777" w:rsidR="00333230" w:rsidRDefault="00333230" w:rsidP="006233DD">
      <w:pPr>
        <w:rPr>
          <w:rFonts w:cs="Arial"/>
        </w:rPr>
      </w:pPr>
    </w:p>
    <w:p w14:paraId="750DAD20" w14:textId="77777777" w:rsidR="004D5425" w:rsidRPr="004D5425" w:rsidRDefault="004D5425" w:rsidP="004D5425">
      <w:pPr>
        <w:pStyle w:val="ListParagraph"/>
        <w:ind w:left="1440"/>
        <w:rPr>
          <w:rFonts w:cs="Arial"/>
          <w:lang w:eastAsia="ja-JP"/>
        </w:rPr>
      </w:pPr>
    </w:p>
    <w:p w14:paraId="49A9C779" w14:textId="38E0484A" w:rsidR="00D87228" w:rsidRDefault="00D87228" w:rsidP="00D87228">
      <w:pPr>
        <w:pStyle w:val="Heading1"/>
        <w:rPr>
          <w:rFonts w:eastAsiaTheme="minorHAnsi" w:cs="Arial"/>
        </w:rPr>
      </w:pPr>
      <w:r>
        <w:rPr>
          <w:rFonts w:eastAsiaTheme="minorHAnsi" w:cs="Arial"/>
        </w:rPr>
        <w:t xml:space="preserve">Step by </w:t>
      </w:r>
      <w:r w:rsidR="006C0C09">
        <w:rPr>
          <w:rFonts w:eastAsiaTheme="minorHAnsi" w:cs="Arial"/>
        </w:rPr>
        <w:t>S</w:t>
      </w:r>
      <w:r>
        <w:rPr>
          <w:rFonts w:eastAsiaTheme="minorHAnsi" w:cs="Arial"/>
        </w:rPr>
        <w:t xml:space="preserve">tep </w:t>
      </w:r>
      <w:r w:rsidR="006C0C09">
        <w:rPr>
          <w:rFonts w:eastAsiaTheme="minorHAnsi" w:cs="Arial"/>
        </w:rPr>
        <w:t>G</w:t>
      </w:r>
      <w:r>
        <w:rPr>
          <w:rFonts w:eastAsiaTheme="minorHAnsi" w:cs="Arial"/>
        </w:rPr>
        <w:t xml:space="preserve">uide to the </w:t>
      </w:r>
      <w:r w:rsidR="006C0C09">
        <w:rPr>
          <w:rFonts w:eastAsiaTheme="minorHAnsi" w:cs="Arial"/>
        </w:rPr>
        <w:t>u</w:t>
      </w:r>
      <w:r>
        <w:rPr>
          <w:rFonts w:eastAsiaTheme="minorHAnsi" w:cs="Arial"/>
        </w:rPr>
        <w:t>se of UniGreenScheme</w:t>
      </w:r>
    </w:p>
    <w:p w14:paraId="51FDC4F2" w14:textId="77777777" w:rsidR="00D87228" w:rsidRDefault="00D87228" w:rsidP="00D87228">
      <w:pPr>
        <w:rPr>
          <w:rFonts w:cs="Arial"/>
        </w:rPr>
      </w:pPr>
      <w:r>
        <w:rPr>
          <w:rFonts w:cs="Arial"/>
        </w:rPr>
        <w:t>Please use the following instructions to list items on the platform.</w:t>
      </w:r>
    </w:p>
    <w:p w14:paraId="000B397F" w14:textId="77777777" w:rsidR="00D87228" w:rsidRDefault="00D87228" w:rsidP="00D87228">
      <w:pPr>
        <w:rPr>
          <w:rFonts w:cs="Arial"/>
        </w:rPr>
      </w:pPr>
    </w:p>
    <w:p w14:paraId="0F79653D" w14:textId="77777777" w:rsidR="00D87228" w:rsidRPr="00B72511" w:rsidRDefault="00D87228" w:rsidP="00D87228">
      <w:pPr>
        <w:pStyle w:val="Heading2"/>
        <w:numPr>
          <w:ilvl w:val="0"/>
          <w:numId w:val="0"/>
        </w:numPr>
        <w:ind w:left="576" w:hanging="576"/>
        <w:rPr>
          <w:lang w:eastAsia="ja-JP"/>
        </w:rPr>
      </w:pPr>
      <w:r>
        <w:rPr>
          <w:rFonts w:cs="Arial"/>
          <w:lang w:eastAsia="ja-JP"/>
        </w:rPr>
        <w:t xml:space="preserve">5.1 </w:t>
      </w:r>
      <w:r w:rsidRPr="00B72511">
        <w:rPr>
          <w:lang w:eastAsia="ja-JP"/>
        </w:rPr>
        <w:t>Identify surplus equipment and gain authorisation to sell:</w:t>
      </w:r>
    </w:p>
    <w:p w14:paraId="3F2D8929" w14:textId="77777777" w:rsidR="00D87228" w:rsidRPr="006C0C09" w:rsidRDefault="00D87228" w:rsidP="00D87228">
      <w:pPr>
        <w:pStyle w:val="Heading3"/>
        <w:numPr>
          <w:ilvl w:val="0"/>
          <w:numId w:val="0"/>
        </w:numPr>
        <w:rPr>
          <w:rFonts w:cs="Arial"/>
          <w:b w:val="0"/>
          <w:bCs/>
          <w:color w:val="auto"/>
          <w:lang w:eastAsia="ja-JP"/>
        </w:rPr>
      </w:pPr>
      <w:r w:rsidRPr="006C0C09">
        <w:rPr>
          <w:rFonts w:cs="Arial"/>
          <w:b w:val="0"/>
          <w:bCs/>
          <w:color w:val="auto"/>
          <w:lang w:eastAsia="ja-JP"/>
        </w:rPr>
        <w:t>Identify any surplus equipment that can be sold via UniGreenScheme (Appendix 2).</w:t>
      </w:r>
    </w:p>
    <w:p w14:paraId="50F3C5FB" w14:textId="77777777" w:rsidR="00D87228" w:rsidRDefault="00D87228" w:rsidP="00D87228">
      <w:pPr>
        <w:rPr>
          <w:lang w:eastAsia="ja-JP"/>
        </w:rPr>
      </w:pPr>
    </w:p>
    <w:p w14:paraId="32FF1117" w14:textId="77777777" w:rsidR="00D87228" w:rsidRDefault="00D87228" w:rsidP="00D87228">
      <w:pPr>
        <w:rPr>
          <w:lang w:eastAsia="ja-JP"/>
        </w:rPr>
      </w:pPr>
      <w:r>
        <w:rPr>
          <w:lang w:eastAsia="ja-JP"/>
        </w:rPr>
        <w:t>Ensure you have the authorisation to sell the equipment by consulting any applicable stakeholders:</w:t>
      </w:r>
    </w:p>
    <w:p w14:paraId="7E3F7033" w14:textId="77777777" w:rsidR="00D87228" w:rsidRDefault="00D87228" w:rsidP="00D87228">
      <w:pPr>
        <w:pStyle w:val="ListParagraph"/>
        <w:numPr>
          <w:ilvl w:val="0"/>
          <w:numId w:val="14"/>
        </w:numPr>
        <w:rPr>
          <w:lang w:eastAsia="ja-JP"/>
        </w:rPr>
      </w:pPr>
      <w:r>
        <w:rPr>
          <w:lang w:eastAsia="ja-JP"/>
        </w:rPr>
        <w:t>Equipment owner if not yourself</w:t>
      </w:r>
    </w:p>
    <w:p w14:paraId="62C0545A" w14:textId="77777777" w:rsidR="00D87228" w:rsidRDefault="00D87228" w:rsidP="00D87228">
      <w:pPr>
        <w:pStyle w:val="ListParagraph"/>
        <w:numPr>
          <w:ilvl w:val="0"/>
          <w:numId w:val="14"/>
        </w:numPr>
        <w:rPr>
          <w:lang w:eastAsia="ja-JP"/>
        </w:rPr>
      </w:pPr>
      <w:r>
        <w:rPr>
          <w:lang w:eastAsia="ja-JP"/>
        </w:rPr>
        <w:t>Lab/project managers</w:t>
      </w:r>
    </w:p>
    <w:p w14:paraId="0770FC68" w14:textId="77777777" w:rsidR="00D87228" w:rsidRDefault="00D87228" w:rsidP="00D87228">
      <w:pPr>
        <w:pStyle w:val="ListParagraph"/>
        <w:numPr>
          <w:ilvl w:val="0"/>
          <w:numId w:val="14"/>
        </w:numPr>
        <w:rPr>
          <w:lang w:eastAsia="ja-JP"/>
        </w:rPr>
      </w:pPr>
      <w:r>
        <w:rPr>
          <w:lang w:eastAsia="ja-JP"/>
        </w:rPr>
        <w:t>Faculty compliance or Senior Leadership</w:t>
      </w:r>
    </w:p>
    <w:p w14:paraId="148FD0FD" w14:textId="77777777" w:rsidR="00D87228" w:rsidRPr="00B72511" w:rsidRDefault="00D87228" w:rsidP="00D87228">
      <w:pPr>
        <w:pStyle w:val="ListParagraph"/>
        <w:numPr>
          <w:ilvl w:val="0"/>
          <w:numId w:val="14"/>
        </w:numPr>
        <w:rPr>
          <w:lang w:eastAsia="ja-JP"/>
        </w:rPr>
      </w:pPr>
      <w:r w:rsidRPr="00B72511">
        <w:rPr>
          <w:lang w:eastAsia="ja-JP"/>
        </w:rPr>
        <w:t xml:space="preserve">Research grant approval where </w:t>
      </w:r>
      <w:r>
        <w:rPr>
          <w:lang w:eastAsia="ja-JP"/>
        </w:rPr>
        <w:t>appropriate</w:t>
      </w:r>
    </w:p>
    <w:p w14:paraId="6C513E05" w14:textId="77777777" w:rsidR="00D87228" w:rsidRDefault="00D87228" w:rsidP="00D87228">
      <w:pPr>
        <w:pStyle w:val="ListParagraph"/>
        <w:numPr>
          <w:ilvl w:val="0"/>
          <w:numId w:val="14"/>
        </w:numPr>
        <w:rPr>
          <w:lang w:eastAsia="ja-JP"/>
        </w:rPr>
      </w:pPr>
      <w:r>
        <w:rPr>
          <w:lang w:eastAsia="ja-JP"/>
        </w:rPr>
        <w:t>Etc.</w:t>
      </w:r>
    </w:p>
    <w:p w14:paraId="03C523EE" w14:textId="77777777" w:rsidR="00D87228" w:rsidRPr="00B72511" w:rsidRDefault="00D87228" w:rsidP="00D87228">
      <w:pPr>
        <w:pStyle w:val="ListParagraph"/>
        <w:rPr>
          <w:lang w:eastAsia="ja-JP"/>
        </w:rPr>
      </w:pPr>
    </w:p>
    <w:p w14:paraId="3D001A55" w14:textId="77777777" w:rsidR="00D87228" w:rsidRPr="00BC0BD7" w:rsidRDefault="00D87228" w:rsidP="00D87228">
      <w:pPr>
        <w:pStyle w:val="Heading3"/>
        <w:numPr>
          <w:ilvl w:val="0"/>
          <w:numId w:val="0"/>
        </w:numPr>
        <w:rPr>
          <w:rFonts w:cs="Arial"/>
          <w:lang w:eastAsia="ja-JP"/>
        </w:rPr>
      </w:pPr>
      <w:r>
        <w:rPr>
          <w:rFonts w:cs="Arial"/>
          <w:lang w:eastAsia="ja-JP"/>
        </w:rPr>
        <w:t>5.2 Contact UniGreenScheme with details of the equipment to sell:</w:t>
      </w:r>
    </w:p>
    <w:p w14:paraId="47FF038C" w14:textId="77777777" w:rsidR="00D87228" w:rsidRPr="00063459" w:rsidRDefault="00D87228" w:rsidP="00D87228">
      <w:pPr>
        <w:rPr>
          <w:rFonts w:cs="Arial"/>
          <w:lang w:eastAsia="ja-JP"/>
        </w:rPr>
      </w:pPr>
      <w:r w:rsidRPr="00063459">
        <w:rPr>
          <w:rFonts w:cs="Arial"/>
          <w:lang w:eastAsia="ja-JP"/>
        </w:rPr>
        <w:t xml:space="preserve">Contact </w:t>
      </w:r>
      <w:r>
        <w:rPr>
          <w:rFonts w:cs="Arial"/>
          <w:lang w:eastAsia="ja-JP"/>
        </w:rPr>
        <w:t>UniGreenScheme</w:t>
      </w:r>
      <w:r w:rsidRPr="00063459">
        <w:rPr>
          <w:rFonts w:cs="Arial"/>
          <w:lang w:eastAsia="ja-JP"/>
        </w:rPr>
        <w:t xml:space="preserve"> Projects Team at </w:t>
      </w:r>
      <w:hyperlink r:id="rId12" w:history="1">
        <w:r w:rsidRPr="000378CA">
          <w:rPr>
            <w:rStyle w:val="Hyperlink"/>
            <w:rFonts w:cs="Arial"/>
            <w:lang w:eastAsia="ja-JP"/>
          </w:rPr>
          <w:t>projects@unigreenscheme.co.uk</w:t>
        </w:r>
      </w:hyperlink>
      <w:r>
        <w:rPr>
          <w:rFonts w:cs="Arial"/>
          <w:lang w:eastAsia="ja-JP"/>
        </w:rPr>
        <w:t xml:space="preserve">, cc’ing </w:t>
      </w:r>
      <w:hyperlink r:id="rId13" w:history="1">
        <w:r w:rsidRPr="00151DB6">
          <w:rPr>
            <w:rStyle w:val="Hyperlink"/>
            <w:rFonts w:cs="Arial"/>
            <w:lang w:eastAsia="ja-JP"/>
          </w:rPr>
          <w:t>Estates-Waste@swansea.ac.uk</w:t>
        </w:r>
      </w:hyperlink>
      <w:r>
        <w:rPr>
          <w:rFonts w:cs="Arial"/>
          <w:lang w:eastAsia="ja-JP"/>
        </w:rPr>
        <w:t xml:space="preserve"> into the initial contact</w:t>
      </w:r>
    </w:p>
    <w:p w14:paraId="1D37F571" w14:textId="77777777" w:rsidR="00D87228" w:rsidRPr="00063459" w:rsidRDefault="00D87228" w:rsidP="00D87228">
      <w:pPr>
        <w:rPr>
          <w:rFonts w:cs="Arial"/>
          <w:lang w:eastAsia="ja-JP"/>
        </w:rPr>
      </w:pPr>
      <w:r w:rsidRPr="00063459">
        <w:rPr>
          <w:rFonts w:cs="Arial"/>
          <w:lang w:eastAsia="ja-JP"/>
        </w:rPr>
        <w:t xml:space="preserve">Please include the following information </w:t>
      </w:r>
      <w:r>
        <w:rPr>
          <w:rFonts w:cs="Arial"/>
          <w:lang w:eastAsia="ja-JP"/>
        </w:rPr>
        <w:t>in your email, so an accurate appraisal can be made</w:t>
      </w:r>
      <w:r w:rsidRPr="00063459">
        <w:rPr>
          <w:rFonts w:cs="Arial"/>
          <w:lang w:eastAsia="ja-JP"/>
        </w:rPr>
        <w:t>:</w:t>
      </w:r>
    </w:p>
    <w:p w14:paraId="06CFB2E4" w14:textId="77777777" w:rsidR="00D87228" w:rsidRDefault="00D87228" w:rsidP="00D87228">
      <w:pPr>
        <w:pStyle w:val="ListParagraph"/>
        <w:numPr>
          <w:ilvl w:val="0"/>
          <w:numId w:val="6"/>
        </w:numPr>
        <w:rPr>
          <w:rFonts w:cs="Arial"/>
          <w:lang w:eastAsia="ja-JP"/>
        </w:rPr>
      </w:pPr>
      <w:r w:rsidRPr="00063459">
        <w:rPr>
          <w:rFonts w:cs="Arial"/>
          <w:lang w:eastAsia="ja-JP"/>
        </w:rPr>
        <w:t>What equipment is surplus to requirements?</w:t>
      </w:r>
    </w:p>
    <w:p w14:paraId="690E8933" w14:textId="77777777" w:rsidR="00D87228" w:rsidRDefault="00D87228" w:rsidP="00D87228">
      <w:pPr>
        <w:pStyle w:val="ListParagraph"/>
        <w:numPr>
          <w:ilvl w:val="0"/>
          <w:numId w:val="6"/>
        </w:numPr>
        <w:rPr>
          <w:rFonts w:cs="Arial"/>
          <w:lang w:eastAsia="ja-JP"/>
        </w:rPr>
      </w:pPr>
      <w:r>
        <w:rPr>
          <w:rFonts w:cs="Arial"/>
          <w:lang w:eastAsia="ja-JP"/>
        </w:rPr>
        <w:t>Equipment dimensions.</w:t>
      </w:r>
    </w:p>
    <w:p w14:paraId="4A627423" w14:textId="43F67F89" w:rsidR="00486BD3" w:rsidRPr="00063459" w:rsidRDefault="00486BD3" w:rsidP="00D87228">
      <w:pPr>
        <w:pStyle w:val="ListParagraph"/>
        <w:numPr>
          <w:ilvl w:val="0"/>
          <w:numId w:val="6"/>
        </w:numPr>
        <w:rPr>
          <w:rFonts w:cs="Arial"/>
          <w:lang w:eastAsia="ja-JP"/>
        </w:rPr>
      </w:pPr>
      <w:r>
        <w:rPr>
          <w:rFonts w:cs="Arial"/>
          <w:lang w:eastAsia="ja-JP"/>
        </w:rPr>
        <w:t>Equipment weight (if known)</w:t>
      </w:r>
    </w:p>
    <w:p w14:paraId="6DB26874" w14:textId="57A2F111" w:rsidR="00D87228" w:rsidRDefault="00D87228" w:rsidP="00D87228">
      <w:pPr>
        <w:pStyle w:val="ListParagraph"/>
        <w:numPr>
          <w:ilvl w:val="0"/>
          <w:numId w:val="6"/>
        </w:numPr>
        <w:rPr>
          <w:rFonts w:cs="Arial"/>
          <w:lang w:eastAsia="ja-JP"/>
        </w:rPr>
      </w:pPr>
      <w:r w:rsidRPr="00063459">
        <w:rPr>
          <w:rFonts w:cs="Arial"/>
          <w:lang w:eastAsia="ja-JP"/>
        </w:rPr>
        <w:t>Where is the equipment located?</w:t>
      </w:r>
      <w:r w:rsidR="006C0C09">
        <w:rPr>
          <w:rFonts w:cs="Arial"/>
          <w:lang w:eastAsia="ja-JP"/>
        </w:rPr>
        <w:t xml:space="preserve"> – Campus, Building, Floor, Room Number</w:t>
      </w:r>
    </w:p>
    <w:p w14:paraId="2EB2F004" w14:textId="4763D4CA" w:rsidR="00486BD3" w:rsidRPr="00063459" w:rsidRDefault="00486BD3" w:rsidP="00D87228">
      <w:pPr>
        <w:pStyle w:val="ListParagraph"/>
        <w:numPr>
          <w:ilvl w:val="0"/>
          <w:numId w:val="6"/>
        </w:numPr>
        <w:rPr>
          <w:rFonts w:cs="Arial"/>
          <w:lang w:eastAsia="ja-JP"/>
        </w:rPr>
      </w:pPr>
      <w:r>
        <w:rPr>
          <w:rFonts w:cs="Arial"/>
          <w:lang w:eastAsia="ja-JP"/>
        </w:rPr>
        <w:t>Any access issues/restrictions/difficulties – e.g. forklift truck required</w:t>
      </w:r>
    </w:p>
    <w:p w14:paraId="705E1ECD" w14:textId="77777777" w:rsidR="00D87228" w:rsidRPr="00063459" w:rsidRDefault="00D87228" w:rsidP="00D87228">
      <w:pPr>
        <w:pStyle w:val="ListParagraph"/>
        <w:numPr>
          <w:ilvl w:val="0"/>
          <w:numId w:val="6"/>
        </w:numPr>
        <w:rPr>
          <w:rFonts w:cs="Arial"/>
          <w:lang w:eastAsia="ja-JP"/>
        </w:rPr>
      </w:pPr>
      <w:r w:rsidRPr="00063459">
        <w:rPr>
          <w:rFonts w:cs="Arial"/>
          <w:lang w:eastAsia="ja-JP"/>
        </w:rPr>
        <w:t>Are there any known faults? (It’s fine if the fault is unknown; just knowing the functional condition is important.)</w:t>
      </w:r>
    </w:p>
    <w:p w14:paraId="65D097A1" w14:textId="77777777" w:rsidR="00D87228" w:rsidRPr="00063459" w:rsidRDefault="00D87228" w:rsidP="00D87228">
      <w:pPr>
        <w:pStyle w:val="ListParagraph"/>
        <w:numPr>
          <w:ilvl w:val="0"/>
          <w:numId w:val="6"/>
        </w:numPr>
        <w:rPr>
          <w:rFonts w:cs="Arial"/>
          <w:lang w:eastAsia="ja-JP"/>
        </w:rPr>
      </w:pPr>
      <w:r w:rsidRPr="00063459">
        <w:rPr>
          <w:rFonts w:cs="Arial"/>
          <w:lang w:eastAsia="ja-JP"/>
        </w:rPr>
        <w:t>Is there a deadline for removal?</w:t>
      </w:r>
    </w:p>
    <w:p w14:paraId="0E55F0C1" w14:textId="77777777" w:rsidR="00D87228" w:rsidRDefault="00D87228" w:rsidP="00D87228">
      <w:pPr>
        <w:pStyle w:val="ListParagraph"/>
        <w:numPr>
          <w:ilvl w:val="0"/>
          <w:numId w:val="6"/>
        </w:numPr>
        <w:rPr>
          <w:rFonts w:cs="Arial"/>
          <w:lang w:eastAsia="ja-JP"/>
        </w:rPr>
      </w:pPr>
      <w:r w:rsidRPr="00063459">
        <w:rPr>
          <w:rFonts w:cs="Arial"/>
          <w:lang w:eastAsia="ja-JP"/>
        </w:rPr>
        <w:t>What are your financial expectations?</w:t>
      </w:r>
    </w:p>
    <w:p w14:paraId="1201D9DB" w14:textId="77777777" w:rsidR="00D87228" w:rsidRPr="00C50604" w:rsidRDefault="00D87228" w:rsidP="00D87228">
      <w:pPr>
        <w:rPr>
          <w:b/>
          <w:bCs/>
          <w:i/>
          <w:iCs/>
          <w:lang w:eastAsia="ja-JP"/>
        </w:rPr>
      </w:pPr>
      <w:r w:rsidRPr="00C50604">
        <w:rPr>
          <w:b/>
          <w:bCs/>
          <w:i/>
          <w:iCs/>
          <w:lang w:eastAsia="ja-JP"/>
        </w:rPr>
        <w:t xml:space="preserve">See Appendix </w:t>
      </w:r>
      <w:r>
        <w:rPr>
          <w:b/>
          <w:bCs/>
          <w:i/>
          <w:iCs/>
          <w:lang w:eastAsia="ja-JP"/>
        </w:rPr>
        <w:t>2</w:t>
      </w:r>
      <w:r w:rsidRPr="00C50604">
        <w:rPr>
          <w:b/>
          <w:bCs/>
          <w:i/>
          <w:iCs/>
          <w:lang w:eastAsia="ja-JP"/>
        </w:rPr>
        <w:t xml:space="preserve"> for example</w:t>
      </w:r>
      <w:r>
        <w:rPr>
          <w:b/>
          <w:bCs/>
          <w:i/>
          <w:iCs/>
          <w:lang w:eastAsia="ja-JP"/>
        </w:rPr>
        <w:t>s of equipment typically accepted.</w:t>
      </w:r>
    </w:p>
    <w:p w14:paraId="6C0F73CF" w14:textId="77777777" w:rsidR="00D87228" w:rsidRDefault="00D87228" w:rsidP="00D87228">
      <w:pPr>
        <w:pStyle w:val="Heading2"/>
        <w:numPr>
          <w:ilvl w:val="0"/>
          <w:numId w:val="0"/>
        </w:numPr>
        <w:rPr>
          <w:lang w:eastAsia="ja-JP"/>
        </w:rPr>
      </w:pPr>
    </w:p>
    <w:p w14:paraId="27DAB075" w14:textId="77777777" w:rsidR="00D87228" w:rsidRPr="00BC0BD7" w:rsidRDefault="00D87228" w:rsidP="00D87228">
      <w:pPr>
        <w:pStyle w:val="Heading3"/>
        <w:numPr>
          <w:ilvl w:val="0"/>
          <w:numId w:val="0"/>
        </w:numPr>
        <w:rPr>
          <w:rFonts w:cs="Arial"/>
          <w:lang w:eastAsia="ja-JP"/>
        </w:rPr>
      </w:pPr>
      <w:r>
        <w:rPr>
          <w:rFonts w:cs="Arial"/>
          <w:lang w:eastAsia="ja-JP"/>
        </w:rPr>
        <w:t>5.3 Appraisal</w:t>
      </w:r>
    </w:p>
    <w:p w14:paraId="0BB02D7B" w14:textId="77777777" w:rsidR="00D87228" w:rsidRDefault="00D87228" w:rsidP="00D87228">
      <w:pPr>
        <w:rPr>
          <w:rFonts w:cs="Arial"/>
          <w:lang w:eastAsia="ja-JP"/>
        </w:rPr>
      </w:pPr>
      <w:r>
        <w:rPr>
          <w:rFonts w:cs="Arial"/>
          <w:lang w:eastAsia="ja-JP"/>
        </w:rPr>
        <w:t>The project will be appraised using a combination of online sources and UniGreenScheme sales data</w:t>
      </w:r>
    </w:p>
    <w:p w14:paraId="00CD8B46" w14:textId="77777777" w:rsidR="00D87228" w:rsidRDefault="00D87228" w:rsidP="00D87228">
      <w:pPr>
        <w:rPr>
          <w:rFonts w:cs="Arial"/>
          <w:lang w:eastAsia="ja-JP"/>
        </w:rPr>
      </w:pPr>
      <w:r>
        <w:rPr>
          <w:rFonts w:cs="Arial"/>
          <w:lang w:eastAsia="ja-JP"/>
        </w:rPr>
        <w:t>Based on the information provided an offer will be sent through the profit share model.</w:t>
      </w:r>
    </w:p>
    <w:p w14:paraId="6864A9C2" w14:textId="77777777" w:rsidR="00D87228" w:rsidRPr="00734183" w:rsidRDefault="00D87228" w:rsidP="00D87228">
      <w:pPr>
        <w:rPr>
          <w:lang w:eastAsia="ja-JP"/>
        </w:rPr>
      </w:pPr>
    </w:p>
    <w:p w14:paraId="78D1738E" w14:textId="77777777" w:rsidR="00D87228" w:rsidRPr="00BC0BD7" w:rsidRDefault="00D87228" w:rsidP="00D87228">
      <w:pPr>
        <w:pStyle w:val="Heading3"/>
        <w:numPr>
          <w:ilvl w:val="0"/>
          <w:numId w:val="0"/>
        </w:numPr>
        <w:rPr>
          <w:rFonts w:cs="Arial"/>
          <w:lang w:eastAsia="ja-JP"/>
        </w:rPr>
      </w:pPr>
      <w:r>
        <w:rPr>
          <w:rFonts w:cs="Arial"/>
          <w:lang w:eastAsia="ja-JP"/>
        </w:rPr>
        <w:t>5.4 Data</w:t>
      </w:r>
    </w:p>
    <w:p w14:paraId="164B1276" w14:textId="77777777" w:rsidR="00D87228" w:rsidRDefault="00D87228" w:rsidP="00D87228">
      <w:pPr>
        <w:rPr>
          <w:lang w:eastAsia="ja-JP"/>
        </w:rPr>
      </w:pPr>
      <w:r>
        <w:rPr>
          <w:lang w:eastAsia="ja-JP"/>
        </w:rPr>
        <w:t>If applicable, ensure any saved/sensitive data is cleared from the equipment, software and computers. Data types include:</w:t>
      </w:r>
    </w:p>
    <w:p w14:paraId="591006B7" w14:textId="77777777" w:rsidR="00D87228" w:rsidRDefault="00D87228" w:rsidP="00D87228">
      <w:pPr>
        <w:pStyle w:val="ListParagraph"/>
        <w:numPr>
          <w:ilvl w:val="0"/>
          <w:numId w:val="15"/>
        </w:numPr>
        <w:rPr>
          <w:lang w:eastAsia="ja-JP"/>
        </w:rPr>
      </w:pPr>
      <w:r>
        <w:rPr>
          <w:lang w:eastAsia="ja-JP"/>
        </w:rPr>
        <w:t>Personal information</w:t>
      </w:r>
    </w:p>
    <w:p w14:paraId="56DE901E" w14:textId="77777777" w:rsidR="00D87228" w:rsidRDefault="00D87228" w:rsidP="00D87228">
      <w:pPr>
        <w:pStyle w:val="ListParagraph"/>
        <w:numPr>
          <w:ilvl w:val="1"/>
          <w:numId w:val="15"/>
        </w:numPr>
        <w:rPr>
          <w:lang w:eastAsia="ja-JP"/>
        </w:rPr>
      </w:pPr>
      <w:r>
        <w:rPr>
          <w:lang w:eastAsia="ja-JP"/>
        </w:rPr>
        <w:t>Names</w:t>
      </w:r>
    </w:p>
    <w:p w14:paraId="334BAF7B" w14:textId="77777777" w:rsidR="00D87228" w:rsidRDefault="00D87228" w:rsidP="00D87228">
      <w:pPr>
        <w:pStyle w:val="ListParagraph"/>
        <w:numPr>
          <w:ilvl w:val="1"/>
          <w:numId w:val="15"/>
        </w:numPr>
        <w:rPr>
          <w:lang w:eastAsia="ja-JP"/>
        </w:rPr>
      </w:pPr>
      <w:r>
        <w:rPr>
          <w:lang w:eastAsia="ja-JP"/>
        </w:rPr>
        <w:t>Addresses</w:t>
      </w:r>
    </w:p>
    <w:p w14:paraId="7997E0B1" w14:textId="77777777" w:rsidR="00D87228" w:rsidRDefault="00D87228" w:rsidP="00D87228">
      <w:pPr>
        <w:pStyle w:val="ListParagraph"/>
        <w:numPr>
          <w:ilvl w:val="1"/>
          <w:numId w:val="15"/>
        </w:numPr>
        <w:rPr>
          <w:lang w:eastAsia="ja-JP"/>
        </w:rPr>
      </w:pPr>
      <w:r>
        <w:rPr>
          <w:lang w:eastAsia="ja-JP"/>
        </w:rPr>
        <w:t>Date of birth etc.</w:t>
      </w:r>
    </w:p>
    <w:p w14:paraId="5293CC6D" w14:textId="77777777" w:rsidR="00D87228" w:rsidRDefault="00D87228" w:rsidP="00D87228">
      <w:pPr>
        <w:pStyle w:val="ListParagraph"/>
        <w:numPr>
          <w:ilvl w:val="0"/>
          <w:numId w:val="15"/>
        </w:numPr>
        <w:rPr>
          <w:lang w:eastAsia="ja-JP"/>
        </w:rPr>
      </w:pPr>
      <w:r>
        <w:rPr>
          <w:lang w:eastAsia="ja-JP"/>
        </w:rPr>
        <w:t>Financial information</w:t>
      </w:r>
    </w:p>
    <w:p w14:paraId="0B16619E" w14:textId="77777777" w:rsidR="00D87228" w:rsidRDefault="00D87228" w:rsidP="00D87228">
      <w:pPr>
        <w:pStyle w:val="ListParagraph"/>
        <w:numPr>
          <w:ilvl w:val="1"/>
          <w:numId w:val="15"/>
        </w:numPr>
        <w:rPr>
          <w:lang w:eastAsia="ja-JP"/>
        </w:rPr>
      </w:pPr>
      <w:r>
        <w:rPr>
          <w:lang w:eastAsia="ja-JP"/>
        </w:rPr>
        <w:t>Bank details etc.</w:t>
      </w:r>
    </w:p>
    <w:p w14:paraId="74ABB313" w14:textId="77777777" w:rsidR="00D87228" w:rsidRDefault="00D87228" w:rsidP="00D87228">
      <w:pPr>
        <w:pStyle w:val="ListParagraph"/>
        <w:numPr>
          <w:ilvl w:val="0"/>
          <w:numId w:val="15"/>
        </w:numPr>
        <w:rPr>
          <w:lang w:eastAsia="ja-JP"/>
        </w:rPr>
      </w:pPr>
      <w:r>
        <w:rPr>
          <w:lang w:eastAsia="ja-JP"/>
        </w:rPr>
        <w:t>Health information</w:t>
      </w:r>
    </w:p>
    <w:p w14:paraId="7A01E772" w14:textId="77777777" w:rsidR="00D87228" w:rsidRDefault="00D87228" w:rsidP="00D87228">
      <w:pPr>
        <w:pStyle w:val="ListParagraph"/>
        <w:numPr>
          <w:ilvl w:val="1"/>
          <w:numId w:val="15"/>
        </w:numPr>
        <w:rPr>
          <w:lang w:eastAsia="ja-JP"/>
        </w:rPr>
      </w:pPr>
      <w:r>
        <w:rPr>
          <w:lang w:eastAsia="ja-JP"/>
        </w:rPr>
        <w:t>Biometric data</w:t>
      </w:r>
    </w:p>
    <w:p w14:paraId="3618F0E2" w14:textId="77777777" w:rsidR="00D87228" w:rsidRDefault="00D87228" w:rsidP="00D87228">
      <w:pPr>
        <w:pStyle w:val="ListParagraph"/>
        <w:numPr>
          <w:ilvl w:val="1"/>
          <w:numId w:val="15"/>
        </w:numPr>
        <w:rPr>
          <w:lang w:eastAsia="ja-JP"/>
        </w:rPr>
      </w:pPr>
      <w:r>
        <w:rPr>
          <w:lang w:eastAsia="ja-JP"/>
        </w:rPr>
        <w:t>genetic information etc.</w:t>
      </w:r>
    </w:p>
    <w:p w14:paraId="75DDDA4D" w14:textId="77777777" w:rsidR="00D87228" w:rsidRDefault="00D87228" w:rsidP="00D87228">
      <w:pPr>
        <w:pStyle w:val="ListParagraph"/>
        <w:numPr>
          <w:ilvl w:val="0"/>
          <w:numId w:val="15"/>
        </w:numPr>
        <w:rPr>
          <w:lang w:eastAsia="ja-JP"/>
        </w:rPr>
      </w:pPr>
      <w:r>
        <w:rPr>
          <w:lang w:eastAsia="ja-JP"/>
        </w:rPr>
        <w:t>Business information</w:t>
      </w:r>
    </w:p>
    <w:p w14:paraId="5B0CB1C2" w14:textId="77777777" w:rsidR="00D87228" w:rsidRDefault="00D87228" w:rsidP="00D87228">
      <w:pPr>
        <w:pStyle w:val="ListParagraph"/>
        <w:numPr>
          <w:ilvl w:val="1"/>
          <w:numId w:val="15"/>
        </w:numPr>
        <w:rPr>
          <w:lang w:eastAsia="ja-JP"/>
        </w:rPr>
      </w:pPr>
      <w:r>
        <w:rPr>
          <w:lang w:eastAsia="ja-JP"/>
        </w:rPr>
        <w:t>intellectual property</w:t>
      </w:r>
    </w:p>
    <w:p w14:paraId="110C4E00" w14:textId="77777777" w:rsidR="00D87228" w:rsidRDefault="00D87228" w:rsidP="00D87228">
      <w:pPr>
        <w:pStyle w:val="ListParagraph"/>
        <w:numPr>
          <w:ilvl w:val="1"/>
          <w:numId w:val="15"/>
        </w:numPr>
        <w:rPr>
          <w:lang w:eastAsia="ja-JP"/>
        </w:rPr>
      </w:pPr>
      <w:r>
        <w:rPr>
          <w:lang w:eastAsia="ja-JP"/>
        </w:rPr>
        <w:t>proprietary information</w:t>
      </w:r>
    </w:p>
    <w:p w14:paraId="20190668" w14:textId="77777777" w:rsidR="00D87228" w:rsidRDefault="00D87228" w:rsidP="00D87228">
      <w:pPr>
        <w:pStyle w:val="ListParagraph"/>
        <w:numPr>
          <w:ilvl w:val="1"/>
          <w:numId w:val="15"/>
        </w:numPr>
        <w:rPr>
          <w:lang w:eastAsia="ja-JP"/>
        </w:rPr>
      </w:pPr>
      <w:r>
        <w:rPr>
          <w:lang w:eastAsia="ja-JP"/>
        </w:rPr>
        <w:t>strategic plans etc.</w:t>
      </w:r>
    </w:p>
    <w:p w14:paraId="7B17844B" w14:textId="77777777" w:rsidR="00D87228" w:rsidRDefault="00D87228" w:rsidP="00D87228">
      <w:pPr>
        <w:rPr>
          <w:lang w:eastAsia="ja-JP"/>
        </w:rPr>
      </w:pPr>
      <w:r>
        <w:rPr>
          <w:lang w:eastAsia="ja-JP"/>
        </w:rPr>
        <w:t>Digital services can provide support if required via the Service Centre to ensure any applicable data is removed.</w:t>
      </w:r>
    </w:p>
    <w:p w14:paraId="503B1A25" w14:textId="77777777" w:rsidR="00D87228" w:rsidRPr="00BC0BD7" w:rsidRDefault="00D87228" w:rsidP="00D87228">
      <w:pPr>
        <w:pStyle w:val="Heading3"/>
        <w:numPr>
          <w:ilvl w:val="0"/>
          <w:numId w:val="0"/>
        </w:numPr>
        <w:rPr>
          <w:rFonts w:cs="Arial"/>
          <w:lang w:eastAsia="ja-JP"/>
        </w:rPr>
      </w:pPr>
      <w:r>
        <w:rPr>
          <w:rFonts w:cs="Arial"/>
          <w:lang w:eastAsia="ja-JP"/>
        </w:rPr>
        <w:lastRenderedPageBreak/>
        <w:t>5.5 Collection</w:t>
      </w:r>
    </w:p>
    <w:p w14:paraId="0666E2AC" w14:textId="77777777" w:rsidR="00D87228" w:rsidRDefault="00D87228" w:rsidP="00D87228">
      <w:pPr>
        <w:rPr>
          <w:rFonts w:cs="Arial"/>
          <w:lang w:eastAsia="ja-JP"/>
        </w:rPr>
      </w:pPr>
      <w:r>
        <w:rPr>
          <w:rFonts w:cs="Arial"/>
          <w:lang w:eastAsia="ja-JP"/>
        </w:rPr>
        <w:t>Once you are happy to proceed, you will be asked a few simple questions, so UniGreenScheme know what to expect on the day.</w:t>
      </w:r>
    </w:p>
    <w:p w14:paraId="3412A32C" w14:textId="77777777" w:rsidR="00D87228" w:rsidRPr="00734183" w:rsidRDefault="00D87228" w:rsidP="00D87228">
      <w:pPr>
        <w:pStyle w:val="Heading2"/>
        <w:numPr>
          <w:ilvl w:val="0"/>
          <w:numId w:val="0"/>
        </w:numPr>
        <w:rPr>
          <w:rFonts w:cs="Arial"/>
          <w:b w:val="0"/>
          <w:bCs/>
          <w:color w:val="auto"/>
          <w:lang w:eastAsia="ja-JP"/>
        </w:rPr>
      </w:pPr>
      <w:r w:rsidRPr="00734183">
        <w:rPr>
          <w:rFonts w:cs="Arial"/>
          <w:b w:val="0"/>
          <w:bCs/>
          <w:color w:val="auto"/>
          <w:lang w:eastAsia="ja-JP"/>
        </w:rPr>
        <w:t>Collections are typically booked within two weeks, but tighter timeframes can be accommodated where required</w:t>
      </w:r>
    </w:p>
    <w:p w14:paraId="4A0A9BC9" w14:textId="77777777" w:rsidR="00D87228" w:rsidRDefault="00D87228" w:rsidP="00D87228">
      <w:pPr>
        <w:rPr>
          <w:lang w:eastAsia="ja-JP"/>
        </w:rPr>
      </w:pPr>
    </w:p>
    <w:p w14:paraId="14074ED4" w14:textId="77777777" w:rsidR="00D87228" w:rsidRPr="00BC0BD7" w:rsidRDefault="00D87228" w:rsidP="00D87228">
      <w:pPr>
        <w:pStyle w:val="Heading3"/>
        <w:numPr>
          <w:ilvl w:val="0"/>
          <w:numId w:val="0"/>
        </w:numPr>
        <w:rPr>
          <w:rFonts w:cs="Arial"/>
          <w:lang w:eastAsia="ja-JP"/>
        </w:rPr>
      </w:pPr>
      <w:r>
        <w:rPr>
          <w:rFonts w:cs="Arial"/>
          <w:lang w:eastAsia="ja-JP"/>
        </w:rPr>
        <w:t>5.6 Storage</w:t>
      </w:r>
    </w:p>
    <w:p w14:paraId="7767E890" w14:textId="77777777" w:rsidR="00D87228" w:rsidRDefault="00D87228" w:rsidP="00D87228">
      <w:pPr>
        <w:rPr>
          <w:rFonts w:cs="Arial"/>
          <w:lang w:eastAsia="ja-JP"/>
        </w:rPr>
      </w:pPr>
      <w:r>
        <w:rPr>
          <w:lang w:eastAsia="ja-JP"/>
        </w:rPr>
        <w:t xml:space="preserve">Collected items are taken to UniGreenScheme secure sites in either Caerphilly or Dumfries where they are stored and prepared for sale. The </w:t>
      </w:r>
      <w:r>
        <w:rPr>
          <w:rFonts w:cs="Arial"/>
          <w:lang w:eastAsia="ja-JP"/>
        </w:rPr>
        <w:t xml:space="preserve">equipment is checked and assessed by UniGreenScheme in-house team. </w:t>
      </w:r>
    </w:p>
    <w:p w14:paraId="6851DC70" w14:textId="77777777" w:rsidR="00D87228" w:rsidRDefault="00D87228" w:rsidP="00D87228">
      <w:pPr>
        <w:rPr>
          <w:lang w:eastAsia="ja-JP"/>
        </w:rPr>
      </w:pPr>
    </w:p>
    <w:p w14:paraId="2782A5E8" w14:textId="77777777" w:rsidR="00D87228" w:rsidRPr="00BC0BD7" w:rsidRDefault="00D87228" w:rsidP="00D87228">
      <w:pPr>
        <w:pStyle w:val="Heading3"/>
        <w:numPr>
          <w:ilvl w:val="0"/>
          <w:numId w:val="0"/>
        </w:numPr>
        <w:rPr>
          <w:rFonts w:cs="Arial"/>
          <w:lang w:eastAsia="ja-JP"/>
        </w:rPr>
      </w:pPr>
      <w:r>
        <w:rPr>
          <w:rFonts w:cs="Arial"/>
          <w:lang w:eastAsia="ja-JP"/>
        </w:rPr>
        <w:t>5.7 Sale</w:t>
      </w:r>
    </w:p>
    <w:p w14:paraId="5A237A5D" w14:textId="77777777" w:rsidR="00D87228" w:rsidRDefault="00D87228" w:rsidP="00D87228">
      <w:pPr>
        <w:rPr>
          <w:lang w:eastAsia="ja-JP"/>
        </w:rPr>
      </w:pPr>
      <w:r>
        <w:rPr>
          <w:lang w:eastAsia="ja-JP"/>
        </w:rPr>
        <w:t>The items are advertised on the UniGreenScheme website. UniGreenScheme handle the sale and dispatch of the item to its new home.</w:t>
      </w:r>
    </w:p>
    <w:p w14:paraId="1E1A2DC2" w14:textId="77777777" w:rsidR="00D87228" w:rsidRDefault="00D87228" w:rsidP="00D87228">
      <w:pPr>
        <w:rPr>
          <w:lang w:eastAsia="ja-JP"/>
        </w:rPr>
      </w:pPr>
    </w:p>
    <w:p w14:paraId="6D5A3B7F" w14:textId="77777777" w:rsidR="00D87228" w:rsidRPr="00BC0BD7" w:rsidRDefault="00D87228" w:rsidP="00D87228">
      <w:pPr>
        <w:pStyle w:val="Heading3"/>
        <w:numPr>
          <w:ilvl w:val="0"/>
          <w:numId w:val="0"/>
        </w:numPr>
        <w:rPr>
          <w:rFonts w:cs="Arial"/>
          <w:lang w:eastAsia="ja-JP"/>
        </w:rPr>
      </w:pPr>
      <w:r>
        <w:rPr>
          <w:rFonts w:cs="Arial"/>
          <w:lang w:eastAsia="ja-JP"/>
        </w:rPr>
        <w:t>5.8 Processing &amp; Rebates</w:t>
      </w:r>
    </w:p>
    <w:p w14:paraId="39A9770A" w14:textId="77777777" w:rsidR="00D87228" w:rsidRDefault="00D87228" w:rsidP="00D87228">
      <w:pPr>
        <w:rPr>
          <w:rFonts w:cs="Arial"/>
          <w:lang w:eastAsia="ja-JP"/>
        </w:rPr>
      </w:pPr>
      <w:r>
        <w:rPr>
          <w:rFonts w:cs="Arial"/>
          <w:lang w:eastAsia="ja-JP"/>
        </w:rPr>
        <w:t>Once your item(s) have sold, any agreed rebates can be paid into your chosen grant, account, or budget code.</w:t>
      </w:r>
    </w:p>
    <w:p w14:paraId="354896DF" w14:textId="77777777" w:rsidR="00D87228" w:rsidRDefault="00D87228" w:rsidP="00D87228">
      <w:pPr>
        <w:rPr>
          <w:rFonts w:cs="Arial"/>
          <w:lang w:eastAsia="ja-JP"/>
        </w:rPr>
      </w:pPr>
      <w:r>
        <w:rPr>
          <w:rFonts w:cs="Arial"/>
          <w:lang w:eastAsia="ja-JP"/>
        </w:rPr>
        <w:t>It is important to note that full payment may take time due to the timelines of completed sales can be complex and unknown.</w:t>
      </w:r>
    </w:p>
    <w:p w14:paraId="3CD0B37E" w14:textId="77777777" w:rsidR="00D87228" w:rsidRDefault="00D87228" w:rsidP="00D87228">
      <w:pPr>
        <w:rPr>
          <w:lang w:eastAsia="ja-JP"/>
        </w:rPr>
      </w:pPr>
    </w:p>
    <w:p w14:paraId="2D82B161" w14:textId="77777777" w:rsidR="00D87228" w:rsidRPr="00BC0BD7" w:rsidRDefault="00D87228" w:rsidP="00D87228">
      <w:pPr>
        <w:pStyle w:val="Heading3"/>
        <w:numPr>
          <w:ilvl w:val="0"/>
          <w:numId w:val="0"/>
        </w:numPr>
        <w:rPr>
          <w:rFonts w:cs="Arial"/>
          <w:lang w:eastAsia="ja-JP"/>
        </w:rPr>
      </w:pPr>
      <w:r>
        <w:rPr>
          <w:rFonts w:cs="Arial"/>
          <w:lang w:eastAsia="ja-JP"/>
        </w:rPr>
        <w:t>5.9 Reporting</w:t>
      </w:r>
    </w:p>
    <w:p w14:paraId="09DBB075" w14:textId="77777777" w:rsidR="00D87228" w:rsidRDefault="00D87228" w:rsidP="00D87228">
      <w:pPr>
        <w:rPr>
          <w:rFonts w:cs="Arial"/>
          <w:lang w:eastAsia="ja-JP"/>
        </w:rPr>
      </w:pPr>
      <w:r>
        <w:rPr>
          <w:rFonts w:cs="Arial"/>
          <w:lang w:eastAsia="ja-JP"/>
        </w:rPr>
        <w:t>A detailed report is provided for every project and includes:</w:t>
      </w:r>
    </w:p>
    <w:p w14:paraId="4C0D204A" w14:textId="77777777" w:rsidR="00D87228" w:rsidRDefault="00D87228" w:rsidP="00D87228">
      <w:pPr>
        <w:pStyle w:val="ListParagraph"/>
        <w:numPr>
          <w:ilvl w:val="0"/>
          <w:numId w:val="8"/>
        </w:numPr>
        <w:rPr>
          <w:rFonts w:cs="Arial"/>
          <w:lang w:eastAsia="ja-JP"/>
        </w:rPr>
      </w:pPr>
      <w:r>
        <w:rPr>
          <w:rFonts w:cs="Arial"/>
          <w:lang w:eastAsia="ja-JP"/>
        </w:rPr>
        <w:t>Sustainability metrics:</w:t>
      </w:r>
    </w:p>
    <w:p w14:paraId="2E9CA208" w14:textId="77777777" w:rsidR="00D87228" w:rsidRDefault="00D87228" w:rsidP="00D87228">
      <w:pPr>
        <w:pStyle w:val="ListParagraph"/>
        <w:numPr>
          <w:ilvl w:val="1"/>
          <w:numId w:val="8"/>
        </w:numPr>
        <w:rPr>
          <w:rFonts w:cs="Arial"/>
          <w:lang w:eastAsia="ja-JP"/>
        </w:rPr>
      </w:pPr>
      <w:r>
        <w:rPr>
          <w:rFonts w:cs="Arial"/>
          <w:lang w:eastAsia="ja-JP"/>
        </w:rPr>
        <w:t>CO</w:t>
      </w:r>
      <w:r w:rsidRPr="004D5425">
        <w:rPr>
          <w:rFonts w:cs="Arial"/>
          <w:vertAlign w:val="subscript"/>
          <w:lang w:eastAsia="ja-JP"/>
        </w:rPr>
        <w:t>2</w:t>
      </w:r>
      <w:r>
        <w:rPr>
          <w:rFonts w:cs="Arial"/>
          <w:lang w:eastAsia="ja-JP"/>
        </w:rPr>
        <w:t xml:space="preserve"> savings</w:t>
      </w:r>
    </w:p>
    <w:p w14:paraId="4A00DD01" w14:textId="77777777" w:rsidR="00D87228" w:rsidRDefault="00D87228" w:rsidP="00D87228">
      <w:pPr>
        <w:pStyle w:val="ListParagraph"/>
        <w:numPr>
          <w:ilvl w:val="1"/>
          <w:numId w:val="8"/>
        </w:numPr>
        <w:rPr>
          <w:rFonts w:cs="Arial"/>
          <w:lang w:eastAsia="ja-JP"/>
        </w:rPr>
      </w:pPr>
      <w:r w:rsidRPr="000919B7">
        <w:rPr>
          <w:rFonts w:cs="Arial"/>
          <w:lang w:eastAsia="ja-JP"/>
        </w:rPr>
        <w:t>Staff time savings</w:t>
      </w:r>
    </w:p>
    <w:p w14:paraId="1E2B4FE0" w14:textId="77777777" w:rsidR="00D87228" w:rsidRDefault="00D87228" w:rsidP="00D87228">
      <w:pPr>
        <w:pStyle w:val="ListParagraph"/>
        <w:numPr>
          <w:ilvl w:val="1"/>
          <w:numId w:val="8"/>
        </w:numPr>
        <w:rPr>
          <w:rFonts w:cs="Arial"/>
          <w:lang w:eastAsia="ja-JP"/>
        </w:rPr>
      </w:pPr>
      <w:r w:rsidRPr="000919B7">
        <w:rPr>
          <w:rFonts w:cs="Arial"/>
          <w:lang w:eastAsia="ja-JP"/>
        </w:rPr>
        <w:t>Financial savings/</w:t>
      </w:r>
      <w:r>
        <w:rPr>
          <w:rFonts w:cs="Arial"/>
          <w:lang w:eastAsia="ja-JP"/>
        </w:rPr>
        <w:t xml:space="preserve"> </w:t>
      </w:r>
      <w:r w:rsidRPr="000919B7">
        <w:rPr>
          <w:rFonts w:cs="Arial"/>
          <w:lang w:eastAsia="ja-JP"/>
        </w:rPr>
        <w:t>income</w:t>
      </w:r>
    </w:p>
    <w:p w14:paraId="435A8D78" w14:textId="7EA3F60D" w:rsidR="00D87228" w:rsidRDefault="00D87228" w:rsidP="00D87228">
      <w:pPr>
        <w:rPr>
          <w:rFonts w:cs="Arial"/>
          <w:lang w:eastAsia="ja-JP"/>
        </w:rPr>
      </w:pPr>
      <w:r>
        <w:rPr>
          <w:rFonts w:cs="Arial"/>
          <w:lang w:eastAsia="ja-JP"/>
        </w:rPr>
        <w:t>Confirmation of receipt of goods and services</w:t>
      </w:r>
    </w:p>
    <w:p w14:paraId="24605E36" w14:textId="77777777" w:rsidR="006C0C09" w:rsidRPr="00D87228" w:rsidRDefault="006C0C09" w:rsidP="00D87228"/>
    <w:p w14:paraId="5B2C3AF2" w14:textId="628FD24E" w:rsidR="00D87228" w:rsidRPr="00BC0BD7" w:rsidRDefault="00D87228" w:rsidP="00D87228">
      <w:pPr>
        <w:pStyle w:val="Heading1"/>
        <w:rPr>
          <w:rFonts w:eastAsiaTheme="minorHAnsi" w:cs="Arial"/>
        </w:rPr>
      </w:pPr>
      <w:r>
        <w:rPr>
          <w:rFonts w:eastAsiaTheme="minorHAnsi" w:cs="Arial"/>
        </w:rPr>
        <w:t>Effects &amp; actions of non-compliance</w:t>
      </w:r>
    </w:p>
    <w:p w14:paraId="5B6C8792" w14:textId="75DCAEE2" w:rsidR="00250097" w:rsidRPr="00BC0BD7" w:rsidRDefault="00250097" w:rsidP="0036407E">
      <w:pPr>
        <w:spacing w:after="0" w:line="240" w:lineRule="auto"/>
        <w:rPr>
          <w:rFonts w:eastAsia="MS Mincho" w:cs="Arial"/>
          <w:szCs w:val="24"/>
          <w:lang w:eastAsia="ja-JP"/>
        </w:rPr>
      </w:pPr>
      <w:r w:rsidRPr="00BC0BD7">
        <w:rPr>
          <w:rFonts w:eastAsia="MS Mincho" w:cs="Arial"/>
          <w:szCs w:val="24"/>
          <w:lang w:eastAsia="ja-JP"/>
        </w:rPr>
        <w:t>Failure to comply with this procedure may result in:</w:t>
      </w:r>
    </w:p>
    <w:p w14:paraId="3E94028F" w14:textId="28356251" w:rsidR="00250097" w:rsidRPr="00BC0BD7" w:rsidRDefault="00250097" w:rsidP="009254F1">
      <w:pPr>
        <w:numPr>
          <w:ilvl w:val="0"/>
          <w:numId w:val="2"/>
        </w:numPr>
        <w:autoSpaceDE w:val="0"/>
        <w:autoSpaceDN w:val="0"/>
        <w:adjustRightInd w:val="0"/>
        <w:spacing w:after="0" w:line="240" w:lineRule="auto"/>
        <w:rPr>
          <w:rFonts w:eastAsia="MS Mincho" w:cs="Arial"/>
          <w:color w:val="000000"/>
          <w:szCs w:val="24"/>
          <w:lang w:eastAsia="en-GB"/>
        </w:rPr>
      </w:pPr>
      <w:r w:rsidRPr="00BC0BD7">
        <w:rPr>
          <w:rFonts w:eastAsia="MS Mincho" w:cs="Arial"/>
          <w:color w:val="000000"/>
          <w:szCs w:val="24"/>
          <w:lang w:eastAsia="en-GB"/>
        </w:rPr>
        <w:t xml:space="preserve">Non-conformance with the requirements of EcoCampus and the ISO 14001:2015 standard. </w:t>
      </w:r>
    </w:p>
    <w:p w14:paraId="70CB90A8" w14:textId="77777777" w:rsidR="00E41470" w:rsidRDefault="00E41470" w:rsidP="0036407E">
      <w:pPr>
        <w:spacing w:after="0" w:line="240" w:lineRule="auto"/>
        <w:rPr>
          <w:rFonts w:eastAsia="MS Mincho" w:cs="Arial"/>
          <w:szCs w:val="24"/>
          <w:lang w:eastAsia="ja-JP"/>
        </w:rPr>
      </w:pPr>
    </w:p>
    <w:p w14:paraId="4F32F87F" w14:textId="6702C850" w:rsidR="00250097" w:rsidRPr="00BC0BD7" w:rsidRDefault="00250097" w:rsidP="0036407E">
      <w:pPr>
        <w:spacing w:after="0" w:line="240" w:lineRule="auto"/>
        <w:rPr>
          <w:rFonts w:eastAsia="MS Mincho" w:cs="Arial"/>
          <w:b/>
          <w:color w:val="548DD4"/>
          <w:szCs w:val="24"/>
          <w:lang w:eastAsia="ja-JP"/>
        </w:rPr>
      </w:pPr>
      <w:r w:rsidRPr="00BC0BD7">
        <w:rPr>
          <w:rFonts w:eastAsia="MS Mincho" w:cs="Arial"/>
          <w:szCs w:val="24"/>
          <w:lang w:eastAsia="ja-JP"/>
        </w:rPr>
        <w:t xml:space="preserve">Departure from this procedure is addressed in the procedure </w:t>
      </w:r>
      <w:r w:rsidR="003D4AEF" w:rsidRPr="00BC0BD7">
        <w:rPr>
          <w:rFonts w:eastAsia="MS Mincho" w:cs="Arial"/>
          <w:b/>
          <w:color w:val="242F60"/>
          <w:szCs w:val="24"/>
          <w:lang w:eastAsia="ja-JP"/>
        </w:rPr>
        <w:t>10.1</w:t>
      </w:r>
      <w:r w:rsidRPr="00BC0BD7">
        <w:rPr>
          <w:rFonts w:eastAsia="MS Mincho" w:cs="Arial"/>
          <w:b/>
          <w:color w:val="242F60"/>
          <w:szCs w:val="24"/>
          <w:lang w:eastAsia="ja-JP"/>
        </w:rPr>
        <w:t xml:space="preserve"> Non</w:t>
      </w:r>
      <w:r w:rsidR="003D4AEF" w:rsidRPr="00BC0BD7">
        <w:rPr>
          <w:rFonts w:eastAsia="MS Mincho" w:cs="Arial"/>
          <w:b/>
          <w:color w:val="242F60"/>
          <w:szCs w:val="24"/>
          <w:lang w:eastAsia="ja-JP"/>
        </w:rPr>
        <w:t>conformity and Corrective Action</w:t>
      </w:r>
      <w:r w:rsidRPr="00BC0BD7">
        <w:rPr>
          <w:rFonts w:eastAsia="MS Mincho" w:cs="Arial"/>
          <w:b/>
          <w:color w:val="242F60"/>
          <w:szCs w:val="24"/>
          <w:lang w:eastAsia="ja-JP"/>
        </w:rPr>
        <w:t xml:space="preserve"> </w:t>
      </w:r>
    </w:p>
    <w:p w14:paraId="7319DE01" w14:textId="43A09AC4" w:rsidR="007975F4" w:rsidRPr="00291DE5" w:rsidRDefault="00725AB3" w:rsidP="004510C5">
      <w:pPr>
        <w:pStyle w:val="Heading1"/>
        <w:rPr>
          <w:rFonts w:eastAsia="MS Mincho" w:cs="Arial"/>
          <w:lang w:eastAsia="ja-JP"/>
        </w:rPr>
      </w:pPr>
      <w:r w:rsidRPr="00291DE5">
        <w:rPr>
          <w:rFonts w:eastAsia="MS Mincho" w:cs="Arial"/>
          <w:lang w:eastAsia="ja-JP"/>
        </w:rPr>
        <w:lastRenderedPageBreak/>
        <w:t>Relevant UN Sustainable Development Goals</w:t>
      </w:r>
    </w:p>
    <w:p w14:paraId="4CC04C86" w14:textId="6CCE9DB4" w:rsidR="00725AB3" w:rsidRDefault="00290010" w:rsidP="00725AB3">
      <w:pPr>
        <w:rPr>
          <w:lang w:eastAsia="ja-JP"/>
        </w:rPr>
      </w:pPr>
      <w:r>
        <w:rPr>
          <w:noProof/>
          <w:lang w:eastAsia="ja-JP"/>
        </w:rPr>
        <w:drawing>
          <wp:inline distT="0" distB="0" distL="0" distR="0" wp14:anchorId="37770B78" wp14:editId="75632CDF">
            <wp:extent cx="5984984" cy="1800000"/>
            <wp:effectExtent l="0" t="0" r="0" b="0"/>
            <wp:docPr id="4144005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84984" cy="1800000"/>
                    </a:xfrm>
                    <a:prstGeom prst="rect">
                      <a:avLst/>
                    </a:prstGeom>
                    <a:noFill/>
                  </pic:spPr>
                </pic:pic>
              </a:graphicData>
            </a:graphic>
          </wp:inline>
        </w:drawing>
      </w:r>
    </w:p>
    <w:p w14:paraId="6AD4C368" w14:textId="77777777" w:rsidR="00E41470" w:rsidRPr="00725AB3" w:rsidRDefault="00E41470" w:rsidP="00725AB3">
      <w:pPr>
        <w:rPr>
          <w:lang w:eastAsia="ja-JP"/>
        </w:rPr>
      </w:pPr>
    </w:p>
    <w:p w14:paraId="0ACDCC09" w14:textId="55853A49" w:rsidR="00250097" w:rsidRPr="00BC0BD7" w:rsidRDefault="00250097" w:rsidP="004510C5">
      <w:pPr>
        <w:pStyle w:val="Heading1"/>
        <w:rPr>
          <w:rFonts w:eastAsia="MS Mincho" w:cs="Arial"/>
          <w:lang w:eastAsia="ja-JP"/>
        </w:rPr>
      </w:pPr>
      <w:r w:rsidRPr="00BC0BD7">
        <w:rPr>
          <w:rFonts w:eastAsia="MS Mincho" w:cs="Arial"/>
          <w:lang w:eastAsia="ja-JP"/>
        </w:rPr>
        <w:t xml:space="preserve">Version </w:t>
      </w:r>
      <w:r w:rsidR="0032788C">
        <w:rPr>
          <w:rFonts w:eastAsia="MS Mincho" w:cs="Arial"/>
          <w:lang w:eastAsia="ja-JP"/>
        </w:rPr>
        <w:t>c</w:t>
      </w:r>
      <w:r w:rsidRPr="00BC0BD7">
        <w:rPr>
          <w:rFonts w:eastAsia="MS Mincho" w:cs="Arial"/>
          <w:lang w:eastAsia="ja-JP"/>
        </w:rPr>
        <w:t>ontrol</w:t>
      </w:r>
    </w:p>
    <w:tbl>
      <w:tblPr>
        <w:tblStyle w:val="TableGrid1"/>
        <w:tblW w:w="9351" w:type="dxa"/>
        <w:tblLook w:val="04A0" w:firstRow="1" w:lastRow="0" w:firstColumn="1" w:lastColumn="0" w:noHBand="0" w:noVBand="1"/>
      </w:tblPr>
      <w:tblGrid>
        <w:gridCol w:w="1555"/>
        <w:gridCol w:w="1134"/>
        <w:gridCol w:w="6662"/>
      </w:tblGrid>
      <w:tr w:rsidR="00250097" w:rsidRPr="00BC0BD7" w14:paraId="00B5BDE3" w14:textId="77777777" w:rsidTr="007D7B7C">
        <w:tc>
          <w:tcPr>
            <w:tcW w:w="1555" w:type="dxa"/>
            <w:shd w:val="clear" w:color="auto" w:fill="002060"/>
          </w:tcPr>
          <w:p w14:paraId="270B98BB" w14:textId="77777777" w:rsidR="00250097" w:rsidRPr="00BC0BD7" w:rsidRDefault="00250097" w:rsidP="0098109F">
            <w:pPr>
              <w:pStyle w:val="NoSpacing"/>
              <w:rPr>
                <w:rFonts w:cs="Arial"/>
                <w:b/>
                <w:lang w:eastAsia="ja-JP"/>
              </w:rPr>
            </w:pPr>
            <w:r w:rsidRPr="00BC0BD7">
              <w:rPr>
                <w:rFonts w:cs="Arial"/>
                <w:b/>
                <w:lang w:eastAsia="ja-JP"/>
              </w:rPr>
              <w:t>Date</w:t>
            </w:r>
          </w:p>
        </w:tc>
        <w:tc>
          <w:tcPr>
            <w:tcW w:w="1134" w:type="dxa"/>
            <w:shd w:val="clear" w:color="auto" w:fill="002060"/>
          </w:tcPr>
          <w:p w14:paraId="02EEF682" w14:textId="77777777" w:rsidR="00250097" w:rsidRPr="00BC0BD7" w:rsidRDefault="00250097" w:rsidP="0098109F">
            <w:pPr>
              <w:pStyle w:val="NoSpacing"/>
              <w:rPr>
                <w:rFonts w:cs="Arial"/>
                <w:b/>
                <w:lang w:eastAsia="ja-JP"/>
              </w:rPr>
            </w:pPr>
            <w:r w:rsidRPr="00BC0BD7">
              <w:rPr>
                <w:rFonts w:cs="Arial"/>
                <w:b/>
                <w:lang w:eastAsia="ja-JP"/>
              </w:rPr>
              <w:t>Version</w:t>
            </w:r>
          </w:p>
        </w:tc>
        <w:tc>
          <w:tcPr>
            <w:tcW w:w="6662" w:type="dxa"/>
            <w:shd w:val="clear" w:color="auto" w:fill="002060"/>
          </w:tcPr>
          <w:p w14:paraId="24739206" w14:textId="77777777" w:rsidR="00250097" w:rsidRPr="00BC0BD7" w:rsidRDefault="00250097" w:rsidP="0098109F">
            <w:pPr>
              <w:pStyle w:val="NoSpacing"/>
              <w:rPr>
                <w:rFonts w:cs="Arial"/>
                <w:b/>
                <w:lang w:eastAsia="ja-JP"/>
              </w:rPr>
            </w:pPr>
            <w:r w:rsidRPr="00BC0BD7">
              <w:rPr>
                <w:rFonts w:cs="Arial"/>
                <w:b/>
                <w:lang w:eastAsia="ja-JP"/>
              </w:rPr>
              <w:t>Update</w:t>
            </w:r>
          </w:p>
        </w:tc>
      </w:tr>
      <w:tr w:rsidR="00D32291" w:rsidRPr="00BC0BD7" w14:paraId="5899F077" w14:textId="77777777" w:rsidTr="007D7B7C">
        <w:tc>
          <w:tcPr>
            <w:tcW w:w="1555" w:type="dxa"/>
          </w:tcPr>
          <w:p w14:paraId="57425F71" w14:textId="2544049C" w:rsidR="00D32291" w:rsidRPr="00BC0BD7" w:rsidRDefault="00486BD3" w:rsidP="0098109F">
            <w:pPr>
              <w:pStyle w:val="NoSpacing"/>
              <w:rPr>
                <w:rFonts w:cs="Arial"/>
                <w:szCs w:val="24"/>
                <w:lang w:eastAsia="ja-JP"/>
              </w:rPr>
            </w:pPr>
            <w:r>
              <w:rPr>
                <w:rFonts w:cs="Arial"/>
                <w:szCs w:val="24"/>
                <w:lang w:eastAsia="ja-JP"/>
              </w:rPr>
              <w:t>11</w:t>
            </w:r>
            <w:r w:rsidR="00D35C55">
              <w:rPr>
                <w:rFonts w:cs="Arial"/>
                <w:szCs w:val="24"/>
                <w:lang w:eastAsia="ja-JP"/>
              </w:rPr>
              <w:t>/1</w:t>
            </w:r>
            <w:r>
              <w:rPr>
                <w:rFonts w:cs="Arial"/>
                <w:szCs w:val="24"/>
                <w:lang w:eastAsia="ja-JP"/>
              </w:rPr>
              <w:t>2</w:t>
            </w:r>
            <w:r w:rsidR="00D35C55">
              <w:rPr>
                <w:rFonts w:cs="Arial"/>
                <w:szCs w:val="24"/>
                <w:lang w:eastAsia="ja-JP"/>
              </w:rPr>
              <w:t>/25</w:t>
            </w:r>
          </w:p>
        </w:tc>
        <w:tc>
          <w:tcPr>
            <w:tcW w:w="1134" w:type="dxa"/>
          </w:tcPr>
          <w:p w14:paraId="285451D0" w14:textId="3ED70CFE" w:rsidR="00D32291" w:rsidRPr="00BC0BD7" w:rsidRDefault="00D35C55" w:rsidP="0098109F">
            <w:pPr>
              <w:pStyle w:val="NoSpacing"/>
              <w:rPr>
                <w:rFonts w:cs="Arial"/>
                <w:szCs w:val="24"/>
                <w:lang w:eastAsia="ja-JP"/>
              </w:rPr>
            </w:pPr>
            <w:r>
              <w:rPr>
                <w:rFonts w:cs="Arial"/>
                <w:szCs w:val="24"/>
                <w:lang w:eastAsia="ja-JP"/>
              </w:rPr>
              <w:t>1</w:t>
            </w:r>
          </w:p>
        </w:tc>
        <w:tc>
          <w:tcPr>
            <w:tcW w:w="6662" w:type="dxa"/>
          </w:tcPr>
          <w:p w14:paraId="45D35CBF" w14:textId="20750D2C" w:rsidR="00D32291" w:rsidRPr="00BC0BD7" w:rsidRDefault="00D35C55" w:rsidP="0098109F">
            <w:pPr>
              <w:pStyle w:val="NoSpacing"/>
              <w:rPr>
                <w:rFonts w:cs="Arial"/>
                <w:szCs w:val="24"/>
                <w:lang w:eastAsia="ja-JP"/>
              </w:rPr>
            </w:pPr>
            <w:r>
              <w:rPr>
                <w:rFonts w:cs="Arial"/>
                <w:szCs w:val="24"/>
                <w:lang w:eastAsia="ja-JP"/>
              </w:rPr>
              <w:t>Produced by Ben Harris</w:t>
            </w:r>
          </w:p>
        </w:tc>
      </w:tr>
      <w:tr w:rsidR="00250097" w:rsidRPr="00BC0BD7" w14:paraId="7DD58392" w14:textId="77777777" w:rsidTr="007D7B7C">
        <w:tc>
          <w:tcPr>
            <w:tcW w:w="1555" w:type="dxa"/>
          </w:tcPr>
          <w:p w14:paraId="5B82F7AA" w14:textId="17A49AE4" w:rsidR="00250097" w:rsidRPr="00BC0BD7" w:rsidRDefault="00250097" w:rsidP="0098109F">
            <w:pPr>
              <w:pStyle w:val="NoSpacing"/>
              <w:rPr>
                <w:rFonts w:cs="Arial"/>
                <w:szCs w:val="24"/>
                <w:lang w:eastAsia="ja-JP"/>
              </w:rPr>
            </w:pPr>
          </w:p>
        </w:tc>
        <w:tc>
          <w:tcPr>
            <w:tcW w:w="1134" w:type="dxa"/>
          </w:tcPr>
          <w:p w14:paraId="4A642214" w14:textId="77777777" w:rsidR="00250097" w:rsidRPr="00BC0BD7" w:rsidRDefault="00250097" w:rsidP="0098109F">
            <w:pPr>
              <w:pStyle w:val="NoSpacing"/>
              <w:rPr>
                <w:rFonts w:cs="Arial"/>
                <w:szCs w:val="24"/>
                <w:lang w:eastAsia="ja-JP"/>
              </w:rPr>
            </w:pPr>
          </w:p>
        </w:tc>
        <w:tc>
          <w:tcPr>
            <w:tcW w:w="6662" w:type="dxa"/>
          </w:tcPr>
          <w:p w14:paraId="7E7C33A0" w14:textId="77777777" w:rsidR="00250097" w:rsidRPr="00BC0BD7" w:rsidRDefault="00250097" w:rsidP="0098109F">
            <w:pPr>
              <w:pStyle w:val="NoSpacing"/>
              <w:rPr>
                <w:rFonts w:cs="Arial"/>
                <w:szCs w:val="24"/>
                <w:lang w:eastAsia="ja-JP"/>
              </w:rPr>
            </w:pPr>
          </w:p>
        </w:tc>
      </w:tr>
      <w:tr w:rsidR="00250097" w:rsidRPr="00BC0BD7" w14:paraId="2F97BE72" w14:textId="77777777" w:rsidTr="007D7B7C">
        <w:tc>
          <w:tcPr>
            <w:tcW w:w="1555" w:type="dxa"/>
          </w:tcPr>
          <w:p w14:paraId="03258163" w14:textId="77777777" w:rsidR="00250097" w:rsidRPr="00BC0BD7" w:rsidRDefault="00250097" w:rsidP="0098109F">
            <w:pPr>
              <w:pStyle w:val="NoSpacing"/>
              <w:rPr>
                <w:rFonts w:cs="Arial"/>
                <w:szCs w:val="24"/>
                <w:lang w:eastAsia="ja-JP"/>
              </w:rPr>
            </w:pPr>
          </w:p>
        </w:tc>
        <w:tc>
          <w:tcPr>
            <w:tcW w:w="1134" w:type="dxa"/>
          </w:tcPr>
          <w:p w14:paraId="50E1647E" w14:textId="3F756F48" w:rsidR="00250097" w:rsidRPr="00BC0BD7" w:rsidRDefault="00250097" w:rsidP="0098109F">
            <w:pPr>
              <w:pStyle w:val="NoSpacing"/>
              <w:rPr>
                <w:rFonts w:cs="Arial"/>
                <w:szCs w:val="24"/>
                <w:lang w:eastAsia="ja-JP"/>
              </w:rPr>
            </w:pPr>
          </w:p>
        </w:tc>
        <w:tc>
          <w:tcPr>
            <w:tcW w:w="6662" w:type="dxa"/>
          </w:tcPr>
          <w:p w14:paraId="71D91216" w14:textId="77777777" w:rsidR="00250097" w:rsidRPr="00BC0BD7" w:rsidRDefault="00250097" w:rsidP="0098109F">
            <w:pPr>
              <w:pStyle w:val="NoSpacing"/>
              <w:rPr>
                <w:rFonts w:cs="Arial"/>
                <w:szCs w:val="24"/>
                <w:lang w:eastAsia="ja-JP"/>
              </w:rPr>
            </w:pPr>
          </w:p>
        </w:tc>
      </w:tr>
    </w:tbl>
    <w:p w14:paraId="46C414FE" w14:textId="56330D98" w:rsidR="00BA49A5" w:rsidRDefault="00BA49A5" w:rsidP="00BA49A5">
      <w:pPr>
        <w:rPr>
          <w:rFonts w:cs="Arial"/>
        </w:rPr>
      </w:pPr>
    </w:p>
    <w:p w14:paraId="73ED3264" w14:textId="77777777" w:rsidR="0098452F" w:rsidRDefault="0098452F" w:rsidP="00BA49A5">
      <w:pPr>
        <w:rPr>
          <w:rFonts w:cs="Arial"/>
        </w:rPr>
      </w:pPr>
    </w:p>
    <w:p w14:paraId="0DE5550E" w14:textId="77777777" w:rsidR="0098452F" w:rsidRDefault="0098452F" w:rsidP="00BA49A5">
      <w:pPr>
        <w:rPr>
          <w:rFonts w:cs="Arial"/>
        </w:rPr>
      </w:pPr>
    </w:p>
    <w:p w14:paraId="459B3EFC" w14:textId="77777777" w:rsidR="0098452F" w:rsidRDefault="0098452F" w:rsidP="00BA49A5">
      <w:pPr>
        <w:rPr>
          <w:rFonts w:cs="Arial"/>
        </w:rPr>
      </w:pPr>
    </w:p>
    <w:p w14:paraId="05651F6B" w14:textId="77777777" w:rsidR="0098452F" w:rsidRDefault="0098452F" w:rsidP="00BA49A5">
      <w:pPr>
        <w:rPr>
          <w:rFonts w:cs="Arial"/>
        </w:rPr>
      </w:pPr>
    </w:p>
    <w:p w14:paraId="3B9E6351" w14:textId="77777777" w:rsidR="0098452F" w:rsidRDefault="0098452F" w:rsidP="00BA49A5">
      <w:pPr>
        <w:rPr>
          <w:rFonts w:cs="Arial"/>
        </w:rPr>
      </w:pPr>
    </w:p>
    <w:p w14:paraId="4539DA38" w14:textId="77777777" w:rsidR="0098452F" w:rsidRDefault="0098452F" w:rsidP="00BA49A5">
      <w:pPr>
        <w:rPr>
          <w:rFonts w:cs="Arial"/>
        </w:rPr>
      </w:pPr>
    </w:p>
    <w:p w14:paraId="4EBC93FD" w14:textId="77777777" w:rsidR="0098452F" w:rsidRDefault="0098452F" w:rsidP="00BA49A5">
      <w:pPr>
        <w:rPr>
          <w:rFonts w:cs="Arial"/>
        </w:rPr>
      </w:pPr>
    </w:p>
    <w:p w14:paraId="3D28992A" w14:textId="77777777" w:rsidR="0098452F" w:rsidRDefault="0098452F" w:rsidP="00BA49A5">
      <w:pPr>
        <w:rPr>
          <w:rFonts w:cs="Arial"/>
        </w:rPr>
      </w:pPr>
    </w:p>
    <w:p w14:paraId="6C0AB1C1" w14:textId="77777777" w:rsidR="0098452F" w:rsidRDefault="0098452F" w:rsidP="00BA49A5">
      <w:pPr>
        <w:rPr>
          <w:rFonts w:cs="Arial"/>
        </w:rPr>
      </w:pPr>
    </w:p>
    <w:p w14:paraId="77430EA4" w14:textId="77777777" w:rsidR="0098452F" w:rsidRDefault="0098452F" w:rsidP="00BA49A5">
      <w:pPr>
        <w:rPr>
          <w:rFonts w:cs="Arial"/>
        </w:rPr>
      </w:pPr>
    </w:p>
    <w:p w14:paraId="1F8B92D7" w14:textId="77777777" w:rsidR="0098452F" w:rsidRDefault="0098452F" w:rsidP="00BA49A5">
      <w:pPr>
        <w:rPr>
          <w:rFonts w:cs="Arial"/>
        </w:rPr>
      </w:pPr>
    </w:p>
    <w:p w14:paraId="662E5ED6" w14:textId="77777777" w:rsidR="0098452F" w:rsidRDefault="0098452F" w:rsidP="00BA49A5">
      <w:pPr>
        <w:rPr>
          <w:rFonts w:cs="Arial"/>
        </w:rPr>
      </w:pPr>
    </w:p>
    <w:p w14:paraId="41B63E2A" w14:textId="77777777" w:rsidR="0098452F" w:rsidRDefault="0098452F" w:rsidP="00BA49A5">
      <w:pPr>
        <w:rPr>
          <w:rFonts w:cs="Arial"/>
        </w:rPr>
      </w:pPr>
    </w:p>
    <w:p w14:paraId="2FE97E0A" w14:textId="77777777" w:rsidR="0098452F" w:rsidRDefault="0098452F" w:rsidP="00BA49A5">
      <w:pPr>
        <w:rPr>
          <w:rFonts w:cs="Arial"/>
        </w:rPr>
      </w:pPr>
    </w:p>
    <w:p w14:paraId="0EB506DF" w14:textId="77777777" w:rsidR="0098452F" w:rsidRDefault="0098452F" w:rsidP="00BA49A5">
      <w:pPr>
        <w:rPr>
          <w:rFonts w:cs="Arial"/>
        </w:rPr>
      </w:pPr>
    </w:p>
    <w:p w14:paraId="7F378554" w14:textId="77777777" w:rsidR="0098452F" w:rsidRDefault="0098452F" w:rsidP="00BA49A5">
      <w:pPr>
        <w:rPr>
          <w:rFonts w:cs="Arial"/>
        </w:rPr>
      </w:pPr>
    </w:p>
    <w:p w14:paraId="59C57812" w14:textId="77777777" w:rsidR="0098452F" w:rsidRDefault="0098452F" w:rsidP="00BA49A5">
      <w:pPr>
        <w:rPr>
          <w:rFonts w:cs="Arial"/>
        </w:rPr>
      </w:pPr>
    </w:p>
    <w:p w14:paraId="5B71E732" w14:textId="77777777" w:rsidR="00CC6F73" w:rsidRDefault="00CC6F73" w:rsidP="00BA49A5">
      <w:pPr>
        <w:rPr>
          <w:rFonts w:cs="Arial"/>
        </w:rPr>
      </w:pPr>
    </w:p>
    <w:p w14:paraId="1C404DBA" w14:textId="77777777" w:rsidR="00CC6F73" w:rsidRDefault="00CC6F73" w:rsidP="00BA49A5">
      <w:pPr>
        <w:rPr>
          <w:rFonts w:cs="Arial"/>
        </w:rPr>
      </w:pPr>
    </w:p>
    <w:p w14:paraId="05F47A17" w14:textId="79B85327" w:rsidR="0098452F" w:rsidRDefault="003607C0" w:rsidP="00BA49A5">
      <w:pPr>
        <w:rPr>
          <w:rFonts w:cs="Arial"/>
          <w:b/>
          <w:bCs/>
          <w:color w:val="1F3864" w:themeColor="accent5" w:themeShade="80"/>
          <w:sz w:val="32"/>
          <w:szCs w:val="28"/>
        </w:rPr>
      </w:pPr>
      <w:r w:rsidRPr="003607C0">
        <w:rPr>
          <w:rFonts w:cs="Arial"/>
          <w:b/>
          <w:bCs/>
          <w:color w:val="1F3864" w:themeColor="accent5" w:themeShade="80"/>
          <w:sz w:val="32"/>
          <w:szCs w:val="28"/>
        </w:rPr>
        <w:lastRenderedPageBreak/>
        <w:t>Appendix 1: Example profit share calculation</w:t>
      </w:r>
      <w:r w:rsidR="0089417A">
        <w:rPr>
          <w:rFonts w:cs="Arial"/>
          <w:b/>
          <w:bCs/>
          <w:color w:val="1F3864" w:themeColor="accent5" w:themeShade="80"/>
          <w:sz w:val="32"/>
          <w:szCs w:val="28"/>
        </w:rPr>
        <w:t>:</w:t>
      </w:r>
    </w:p>
    <w:p w14:paraId="41061ABF" w14:textId="32A7E6D3" w:rsidR="00677850" w:rsidRDefault="00677850" w:rsidP="006252E2">
      <w:pPr>
        <w:rPr>
          <w:rFonts w:cs="Arial"/>
        </w:rPr>
      </w:pPr>
      <w:r>
        <w:rPr>
          <w:rFonts w:cs="Arial"/>
        </w:rPr>
        <w:t xml:space="preserve">All of </w:t>
      </w:r>
      <w:r w:rsidR="00D87228">
        <w:rPr>
          <w:rFonts w:cs="Arial"/>
        </w:rPr>
        <w:t>UniGreenScheme</w:t>
      </w:r>
      <w:r>
        <w:rPr>
          <w:rFonts w:cs="Arial"/>
        </w:rPr>
        <w:t xml:space="preserve"> pricing is based on projects, not individual items. A project could be a large laboratory clear out, small </w:t>
      </w:r>
      <w:r w:rsidR="00876E94">
        <w:rPr>
          <w:rFonts w:cs="Arial"/>
        </w:rPr>
        <w:t>storeroom</w:t>
      </w:r>
      <w:r>
        <w:rPr>
          <w:rFonts w:cs="Arial"/>
        </w:rPr>
        <w:t xml:space="preserve"> </w:t>
      </w:r>
      <w:r w:rsidR="0089417A">
        <w:rPr>
          <w:rFonts w:cs="Arial"/>
        </w:rPr>
        <w:t>clear-out</w:t>
      </w:r>
      <w:r>
        <w:rPr>
          <w:rFonts w:cs="Arial"/>
        </w:rPr>
        <w:t xml:space="preserve"> or an individual piece of equipment.</w:t>
      </w:r>
    </w:p>
    <w:p w14:paraId="72DF8115" w14:textId="00867368" w:rsidR="006252E2" w:rsidRDefault="006252E2" w:rsidP="006252E2">
      <w:pPr>
        <w:rPr>
          <w:rFonts w:cs="Arial"/>
        </w:rPr>
      </w:pPr>
      <w:r w:rsidRPr="006252E2">
        <w:rPr>
          <w:rFonts w:cs="Arial"/>
        </w:rPr>
        <w:t xml:space="preserve">10 items collected from </w:t>
      </w:r>
      <w:r w:rsidR="00E41470">
        <w:rPr>
          <w:rFonts w:cs="Arial"/>
        </w:rPr>
        <w:t xml:space="preserve">Swansea </w:t>
      </w:r>
      <w:r w:rsidRPr="006252E2">
        <w:rPr>
          <w:rFonts w:cs="Arial"/>
        </w:rPr>
        <w:t>University.</w:t>
      </w:r>
      <w:r>
        <w:rPr>
          <w:rFonts w:cs="Arial"/>
        </w:rPr>
        <w:t xml:space="preserve"> </w:t>
      </w:r>
      <w:r w:rsidRPr="006252E2">
        <w:rPr>
          <w:rFonts w:cs="Arial"/>
        </w:rPr>
        <w:t>Net sale price achieved = £2000 (£200/unit)</w:t>
      </w:r>
    </w:p>
    <w:tbl>
      <w:tblPr>
        <w:tblStyle w:val="TableGrid1"/>
        <w:tblW w:w="9634" w:type="dxa"/>
        <w:tblLook w:val="04A0" w:firstRow="1" w:lastRow="0" w:firstColumn="1" w:lastColumn="0" w:noHBand="0" w:noVBand="1"/>
      </w:tblPr>
      <w:tblGrid>
        <w:gridCol w:w="2381"/>
        <w:gridCol w:w="3217"/>
        <w:gridCol w:w="4036"/>
      </w:tblGrid>
      <w:tr w:rsidR="007D7B7C" w:rsidRPr="00BC0BD7" w14:paraId="23BE390C" w14:textId="77777777" w:rsidTr="004010D3">
        <w:tc>
          <w:tcPr>
            <w:tcW w:w="2295" w:type="dxa"/>
            <w:shd w:val="clear" w:color="auto" w:fill="002060"/>
          </w:tcPr>
          <w:p w14:paraId="51B82062" w14:textId="460824D5" w:rsidR="007D7B7C" w:rsidRPr="00BC0BD7" w:rsidRDefault="007D7B7C" w:rsidP="00467980">
            <w:pPr>
              <w:pStyle w:val="NoSpacing"/>
              <w:rPr>
                <w:rFonts w:cs="Arial"/>
                <w:b/>
                <w:lang w:eastAsia="ja-JP"/>
              </w:rPr>
            </w:pPr>
            <w:r>
              <w:rPr>
                <w:rFonts w:cs="Arial"/>
                <w:b/>
                <w:lang w:eastAsia="ja-JP"/>
              </w:rPr>
              <w:t>Cost</w:t>
            </w:r>
            <w:r w:rsidR="00A7098D">
              <w:rPr>
                <w:rFonts w:cs="Arial"/>
                <w:b/>
                <w:lang w:eastAsia="ja-JP"/>
              </w:rPr>
              <w:t>(s)</w:t>
            </w:r>
          </w:p>
        </w:tc>
        <w:tc>
          <w:tcPr>
            <w:tcW w:w="3249" w:type="dxa"/>
            <w:shd w:val="clear" w:color="auto" w:fill="002060"/>
          </w:tcPr>
          <w:p w14:paraId="1FBF411F" w14:textId="55B900E0" w:rsidR="007D7B7C" w:rsidRPr="00BC0BD7" w:rsidRDefault="007D7B7C" w:rsidP="00467980">
            <w:pPr>
              <w:pStyle w:val="NoSpacing"/>
              <w:rPr>
                <w:rFonts w:cs="Arial"/>
                <w:b/>
                <w:lang w:eastAsia="ja-JP"/>
              </w:rPr>
            </w:pPr>
            <w:r>
              <w:rPr>
                <w:rFonts w:cs="Arial"/>
                <w:b/>
                <w:lang w:eastAsia="ja-JP"/>
              </w:rPr>
              <w:t>Charging basis</w:t>
            </w:r>
          </w:p>
        </w:tc>
        <w:tc>
          <w:tcPr>
            <w:tcW w:w="4090" w:type="dxa"/>
            <w:shd w:val="clear" w:color="auto" w:fill="002060"/>
          </w:tcPr>
          <w:p w14:paraId="0731FCDC" w14:textId="627E1060" w:rsidR="007D7B7C" w:rsidRPr="00BC0BD7" w:rsidRDefault="007D7B7C" w:rsidP="00467980">
            <w:pPr>
              <w:pStyle w:val="NoSpacing"/>
              <w:rPr>
                <w:rFonts w:cs="Arial"/>
                <w:b/>
                <w:lang w:eastAsia="ja-JP"/>
              </w:rPr>
            </w:pPr>
            <w:r>
              <w:rPr>
                <w:rFonts w:cs="Arial"/>
                <w:b/>
                <w:lang w:eastAsia="ja-JP"/>
              </w:rPr>
              <w:t>Example</w:t>
            </w:r>
          </w:p>
        </w:tc>
      </w:tr>
      <w:tr w:rsidR="007D7B7C" w:rsidRPr="00BC0BD7" w14:paraId="187C1518" w14:textId="77777777" w:rsidTr="004010D3">
        <w:tc>
          <w:tcPr>
            <w:tcW w:w="2295" w:type="dxa"/>
          </w:tcPr>
          <w:p w14:paraId="539F52E1" w14:textId="6575C030" w:rsidR="007D7B7C" w:rsidRPr="004010D3" w:rsidRDefault="007D7B7C" w:rsidP="00467980">
            <w:pPr>
              <w:pStyle w:val="NoSpacing"/>
              <w:rPr>
                <w:rFonts w:cs="Arial"/>
                <w:sz w:val="22"/>
                <w:szCs w:val="22"/>
                <w:lang w:eastAsia="ja-JP"/>
              </w:rPr>
            </w:pPr>
            <w:r w:rsidRPr="004010D3">
              <w:rPr>
                <w:rFonts w:cs="Arial"/>
                <w:sz w:val="22"/>
                <w:szCs w:val="22"/>
                <w:lang w:eastAsia="ja-JP"/>
              </w:rPr>
              <w:t>Collections/Transport</w:t>
            </w:r>
            <w:r w:rsidR="00677850" w:rsidRPr="00677850">
              <w:rPr>
                <w:rFonts w:cs="Arial"/>
                <w:b/>
                <w:bCs/>
                <w:sz w:val="22"/>
                <w:szCs w:val="22"/>
                <w:lang w:eastAsia="ja-JP"/>
              </w:rPr>
              <w:t>*</w:t>
            </w:r>
          </w:p>
        </w:tc>
        <w:tc>
          <w:tcPr>
            <w:tcW w:w="3249" w:type="dxa"/>
          </w:tcPr>
          <w:p w14:paraId="223B738E" w14:textId="3139FD26" w:rsidR="007D7B7C" w:rsidRPr="004010D3" w:rsidRDefault="007D7B7C" w:rsidP="00467980">
            <w:pPr>
              <w:pStyle w:val="NoSpacing"/>
              <w:rPr>
                <w:rFonts w:cs="Arial"/>
                <w:sz w:val="22"/>
                <w:szCs w:val="22"/>
                <w:lang w:eastAsia="ja-JP"/>
              </w:rPr>
            </w:pPr>
            <w:r w:rsidRPr="004010D3">
              <w:rPr>
                <w:rFonts w:cs="Arial"/>
                <w:sz w:val="22"/>
                <w:szCs w:val="22"/>
                <w:lang w:eastAsia="ja-JP"/>
              </w:rPr>
              <w:t>0.60p/mile of vehicle travel + time of staff</w:t>
            </w:r>
          </w:p>
        </w:tc>
        <w:tc>
          <w:tcPr>
            <w:tcW w:w="4090" w:type="dxa"/>
          </w:tcPr>
          <w:p w14:paraId="6F8C77C2" w14:textId="77777777" w:rsidR="007D7B7C" w:rsidRPr="004010D3" w:rsidRDefault="007D7B7C" w:rsidP="00467980">
            <w:pPr>
              <w:pStyle w:val="NoSpacing"/>
              <w:rPr>
                <w:rFonts w:cs="Arial"/>
                <w:sz w:val="22"/>
                <w:szCs w:val="22"/>
                <w:lang w:eastAsia="ja-JP"/>
              </w:rPr>
            </w:pPr>
            <w:r w:rsidRPr="004010D3">
              <w:rPr>
                <w:rFonts w:cs="Arial"/>
                <w:sz w:val="22"/>
                <w:szCs w:val="22"/>
                <w:lang w:eastAsia="ja-JP"/>
              </w:rPr>
              <w:t>Net 46 miles travelled = £27.60</w:t>
            </w:r>
          </w:p>
          <w:p w14:paraId="5B205247" w14:textId="77777777" w:rsidR="007D7B7C" w:rsidRPr="004010D3" w:rsidRDefault="007D7B7C" w:rsidP="00467980">
            <w:pPr>
              <w:pStyle w:val="NoSpacing"/>
              <w:rPr>
                <w:rFonts w:cs="Arial"/>
                <w:sz w:val="22"/>
                <w:szCs w:val="22"/>
                <w:lang w:eastAsia="ja-JP"/>
              </w:rPr>
            </w:pPr>
          </w:p>
          <w:p w14:paraId="6CD4DEE8" w14:textId="51483B86" w:rsidR="007D7B7C" w:rsidRPr="004010D3" w:rsidRDefault="007D7B7C" w:rsidP="00467980">
            <w:pPr>
              <w:pStyle w:val="NoSpacing"/>
              <w:rPr>
                <w:rFonts w:cs="Arial"/>
                <w:sz w:val="22"/>
                <w:szCs w:val="22"/>
                <w:lang w:eastAsia="ja-JP"/>
              </w:rPr>
            </w:pPr>
            <w:r w:rsidRPr="004010D3">
              <w:rPr>
                <w:rFonts w:cs="Arial"/>
                <w:sz w:val="22"/>
                <w:szCs w:val="22"/>
                <w:lang w:eastAsia="ja-JP"/>
              </w:rPr>
              <w:t>Travel time (2 person hours) = £30.00</w:t>
            </w:r>
          </w:p>
          <w:p w14:paraId="09421FB4" w14:textId="77777777" w:rsidR="007D7B7C" w:rsidRPr="004010D3" w:rsidRDefault="007D7B7C" w:rsidP="00467980">
            <w:pPr>
              <w:pStyle w:val="NoSpacing"/>
              <w:rPr>
                <w:rFonts w:cs="Arial"/>
                <w:sz w:val="22"/>
                <w:szCs w:val="22"/>
                <w:lang w:eastAsia="ja-JP"/>
              </w:rPr>
            </w:pPr>
          </w:p>
          <w:p w14:paraId="7643AB96" w14:textId="02015C64" w:rsidR="007D7B7C" w:rsidRPr="004010D3" w:rsidRDefault="007D7B7C" w:rsidP="00467980">
            <w:pPr>
              <w:pStyle w:val="NoSpacing"/>
              <w:rPr>
                <w:rFonts w:cs="Arial"/>
                <w:sz w:val="22"/>
                <w:szCs w:val="22"/>
                <w:lang w:eastAsia="ja-JP"/>
              </w:rPr>
            </w:pPr>
            <w:r w:rsidRPr="004010D3">
              <w:rPr>
                <w:rFonts w:cs="Arial"/>
                <w:sz w:val="22"/>
                <w:szCs w:val="22"/>
                <w:lang w:eastAsia="ja-JP"/>
              </w:rPr>
              <w:t>Time on site (4 person hours) = £60.00</w:t>
            </w:r>
          </w:p>
          <w:p w14:paraId="144310ED" w14:textId="77777777" w:rsidR="007D7B7C" w:rsidRPr="004010D3" w:rsidRDefault="007D7B7C" w:rsidP="00467980">
            <w:pPr>
              <w:pStyle w:val="NoSpacing"/>
              <w:rPr>
                <w:rFonts w:cs="Arial"/>
                <w:sz w:val="22"/>
                <w:szCs w:val="22"/>
                <w:lang w:eastAsia="ja-JP"/>
              </w:rPr>
            </w:pPr>
          </w:p>
          <w:p w14:paraId="5DCCE50D" w14:textId="48C6F8C9" w:rsidR="007D7B7C" w:rsidRPr="004010D3" w:rsidRDefault="007D7B7C" w:rsidP="00467980">
            <w:pPr>
              <w:pStyle w:val="NoSpacing"/>
              <w:rPr>
                <w:rFonts w:cs="Arial"/>
                <w:b/>
                <w:bCs/>
                <w:sz w:val="22"/>
                <w:szCs w:val="22"/>
                <w:lang w:eastAsia="ja-JP"/>
              </w:rPr>
            </w:pPr>
            <w:r w:rsidRPr="004010D3">
              <w:rPr>
                <w:rFonts w:cs="Arial"/>
                <w:b/>
                <w:bCs/>
                <w:sz w:val="22"/>
                <w:szCs w:val="22"/>
                <w:lang w:eastAsia="ja-JP"/>
              </w:rPr>
              <w:t>Net collection cost = £117.60</w:t>
            </w:r>
          </w:p>
        </w:tc>
      </w:tr>
      <w:tr w:rsidR="007D7B7C" w:rsidRPr="00BC0BD7" w14:paraId="1BDE4B00" w14:textId="77777777" w:rsidTr="004010D3">
        <w:tc>
          <w:tcPr>
            <w:tcW w:w="2295" w:type="dxa"/>
          </w:tcPr>
          <w:p w14:paraId="6B41E660" w14:textId="313F172E" w:rsidR="007D7B7C" w:rsidRPr="004010D3" w:rsidRDefault="007D7B7C" w:rsidP="00467980">
            <w:pPr>
              <w:pStyle w:val="NoSpacing"/>
              <w:rPr>
                <w:rFonts w:cs="Arial"/>
                <w:sz w:val="22"/>
                <w:szCs w:val="22"/>
                <w:lang w:eastAsia="ja-JP"/>
              </w:rPr>
            </w:pPr>
            <w:r w:rsidRPr="004010D3">
              <w:rPr>
                <w:rFonts w:cs="Arial"/>
                <w:sz w:val="22"/>
                <w:szCs w:val="22"/>
                <w:lang w:eastAsia="ja-JP"/>
              </w:rPr>
              <w:t>Processing</w:t>
            </w:r>
          </w:p>
        </w:tc>
        <w:tc>
          <w:tcPr>
            <w:tcW w:w="3249" w:type="dxa"/>
          </w:tcPr>
          <w:p w14:paraId="5A2FD49A" w14:textId="0984034A" w:rsidR="007D7B7C" w:rsidRPr="004010D3" w:rsidRDefault="007D7B7C" w:rsidP="00467980">
            <w:pPr>
              <w:pStyle w:val="NoSpacing"/>
              <w:rPr>
                <w:rFonts w:cs="Arial"/>
                <w:sz w:val="22"/>
                <w:szCs w:val="22"/>
                <w:lang w:eastAsia="ja-JP"/>
              </w:rPr>
            </w:pPr>
            <w:r w:rsidRPr="004010D3">
              <w:rPr>
                <w:rFonts w:cs="Arial"/>
                <w:sz w:val="22"/>
                <w:szCs w:val="22"/>
                <w:lang w:eastAsia="ja-JP"/>
              </w:rPr>
              <w:t>Assessing, disassembling, sorting, listing, packaging and other direct costs</w:t>
            </w:r>
          </w:p>
        </w:tc>
        <w:tc>
          <w:tcPr>
            <w:tcW w:w="4090" w:type="dxa"/>
          </w:tcPr>
          <w:p w14:paraId="2D5B92E9" w14:textId="77777777" w:rsidR="007D7B7C" w:rsidRPr="004010D3" w:rsidRDefault="007D7B7C" w:rsidP="00467980">
            <w:pPr>
              <w:pStyle w:val="NoSpacing"/>
              <w:rPr>
                <w:rFonts w:cs="Arial"/>
                <w:sz w:val="22"/>
                <w:szCs w:val="22"/>
                <w:lang w:eastAsia="ja-JP"/>
              </w:rPr>
            </w:pPr>
            <w:r w:rsidRPr="004010D3">
              <w:rPr>
                <w:rFonts w:cs="Arial"/>
                <w:sz w:val="22"/>
                <w:szCs w:val="22"/>
                <w:lang w:eastAsia="ja-JP"/>
              </w:rPr>
              <w:t>2 hours processing time (cleaning and listing) = £30.00</w:t>
            </w:r>
          </w:p>
          <w:p w14:paraId="345620DC" w14:textId="77777777" w:rsidR="007D7B7C" w:rsidRPr="004010D3" w:rsidRDefault="007D7B7C" w:rsidP="00467980">
            <w:pPr>
              <w:pStyle w:val="NoSpacing"/>
              <w:rPr>
                <w:rFonts w:cs="Arial"/>
                <w:sz w:val="22"/>
                <w:szCs w:val="22"/>
                <w:lang w:eastAsia="ja-JP"/>
              </w:rPr>
            </w:pPr>
          </w:p>
          <w:p w14:paraId="3BC06F25" w14:textId="77777777" w:rsidR="007D7B7C" w:rsidRPr="004010D3" w:rsidRDefault="007D7B7C" w:rsidP="00467980">
            <w:pPr>
              <w:pStyle w:val="NoSpacing"/>
              <w:rPr>
                <w:rFonts w:cs="Arial"/>
                <w:sz w:val="22"/>
                <w:szCs w:val="22"/>
                <w:lang w:eastAsia="ja-JP"/>
              </w:rPr>
            </w:pPr>
            <w:r w:rsidRPr="004010D3">
              <w:rPr>
                <w:rFonts w:cs="Arial"/>
                <w:sz w:val="22"/>
                <w:szCs w:val="22"/>
                <w:lang w:eastAsia="ja-JP"/>
              </w:rPr>
              <w:t>1 hour processing time (packaging) = £15.00</w:t>
            </w:r>
          </w:p>
          <w:p w14:paraId="78167C1A" w14:textId="77777777" w:rsidR="007D7B7C" w:rsidRPr="004010D3" w:rsidRDefault="007D7B7C" w:rsidP="00467980">
            <w:pPr>
              <w:pStyle w:val="NoSpacing"/>
              <w:rPr>
                <w:rFonts w:cs="Arial"/>
                <w:sz w:val="22"/>
                <w:szCs w:val="22"/>
                <w:lang w:eastAsia="ja-JP"/>
              </w:rPr>
            </w:pPr>
          </w:p>
          <w:p w14:paraId="77FC0F27" w14:textId="27B86DD6" w:rsidR="007D7B7C" w:rsidRPr="004010D3" w:rsidRDefault="007D7B7C" w:rsidP="00467980">
            <w:pPr>
              <w:pStyle w:val="NoSpacing"/>
              <w:rPr>
                <w:rFonts w:cs="Arial"/>
                <w:b/>
                <w:bCs/>
                <w:sz w:val="22"/>
                <w:szCs w:val="22"/>
                <w:lang w:eastAsia="ja-JP"/>
              </w:rPr>
            </w:pPr>
            <w:r w:rsidRPr="004010D3">
              <w:rPr>
                <w:rFonts w:cs="Arial"/>
                <w:b/>
                <w:bCs/>
                <w:sz w:val="22"/>
                <w:szCs w:val="22"/>
                <w:lang w:eastAsia="ja-JP"/>
              </w:rPr>
              <w:t>Net processing cost = £45</w:t>
            </w:r>
          </w:p>
        </w:tc>
      </w:tr>
      <w:tr w:rsidR="007D7B7C" w:rsidRPr="00BC0BD7" w14:paraId="39F77BD1" w14:textId="77777777" w:rsidTr="004010D3">
        <w:tc>
          <w:tcPr>
            <w:tcW w:w="2295" w:type="dxa"/>
          </w:tcPr>
          <w:p w14:paraId="39EFEDFB" w14:textId="57FF44AC" w:rsidR="007D7B7C" w:rsidRPr="004010D3" w:rsidRDefault="007D7B7C" w:rsidP="00467980">
            <w:pPr>
              <w:pStyle w:val="NoSpacing"/>
              <w:rPr>
                <w:rFonts w:cs="Arial"/>
                <w:sz w:val="22"/>
                <w:szCs w:val="22"/>
                <w:lang w:eastAsia="ja-JP"/>
              </w:rPr>
            </w:pPr>
            <w:r w:rsidRPr="004010D3">
              <w:rPr>
                <w:rFonts w:cs="Arial"/>
                <w:sz w:val="22"/>
                <w:szCs w:val="22"/>
                <w:lang w:eastAsia="ja-JP"/>
              </w:rPr>
              <w:t>Storage</w:t>
            </w:r>
          </w:p>
        </w:tc>
        <w:tc>
          <w:tcPr>
            <w:tcW w:w="3249" w:type="dxa"/>
          </w:tcPr>
          <w:p w14:paraId="689B08A1" w14:textId="715AD8C3" w:rsidR="007D7B7C" w:rsidRPr="004010D3" w:rsidRDefault="007D7B7C" w:rsidP="00467980">
            <w:pPr>
              <w:pStyle w:val="NoSpacing"/>
              <w:rPr>
                <w:rFonts w:cs="Arial"/>
                <w:sz w:val="22"/>
                <w:szCs w:val="22"/>
                <w:lang w:eastAsia="ja-JP"/>
              </w:rPr>
            </w:pPr>
            <w:r w:rsidRPr="004010D3">
              <w:rPr>
                <w:rFonts w:cs="Arial"/>
                <w:sz w:val="22"/>
                <w:szCs w:val="22"/>
                <w:lang w:eastAsia="ja-JP"/>
              </w:rPr>
              <w:t>Assuming 10 parcels</w:t>
            </w:r>
            <w:r w:rsidRPr="00677850">
              <w:rPr>
                <w:rFonts w:cs="Arial"/>
                <w:b/>
                <w:bCs/>
                <w:sz w:val="22"/>
                <w:szCs w:val="22"/>
                <w:lang w:eastAsia="ja-JP"/>
              </w:rPr>
              <w:t>*</w:t>
            </w:r>
            <w:r w:rsidR="00677850" w:rsidRPr="00677850">
              <w:rPr>
                <w:rFonts w:cs="Arial"/>
                <w:b/>
                <w:bCs/>
                <w:sz w:val="22"/>
                <w:szCs w:val="22"/>
                <w:lang w:eastAsia="ja-JP"/>
              </w:rPr>
              <w:t>*</w:t>
            </w:r>
          </w:p>
          <w:p w14:paraId="0436F754" w14:textId="77777777" w:rsidR="007D7B7C" w:rsidRPr="004010D3" w:rsidRDefault="007D7B7C" w:rsidP="00467980">
            <w:pPr>
              <w:pStyle w:val="NoSpacing"/>
              <w:rPr>
                <w:rFonts w:cs="Arial"/>
                <w:sz w:val="22"/>
                <w:szCs w:val="22"/>
                <w:lang w:eastAsia="ja-JP"/>
              </w:rPr>
            </w:pPr>
          </w:p>
          <w:p w14:paraId="44898BC0" w14:textId="37B753FF" w:rsidR="007D7B7C" w:rsidRPr="004010D3" w:rsidRDefault="007D7B7C" w:rsidP="00467980">
            <w:pPr>
              <w:pStyle w:val="NoSpacing"/>
              <w:rPr>
                <w:rFonts w:cs="Arial"/>
                <w:sz w:val="22"/>
                <w:szCs w:val="22"/>
                <w:lang w:eastAsia="ja-JP"/>
              </w:rPr>
            </w:pPr>
            <w:r w:rsidRPr="004010D3">
              <w:rPr>
                <w:rFonts w:cs="Arial"/>
                <w:sz w:val="22"/>
                <w:szCs w:val="22"/>
                <w:lang w:eastAsia="ja-JP"/>
              </w:rPr>
              <w:t>Rate = £0.20 per parcel per week</w:t>
            </w:r>
          </w:p>
        </w:tc>
        <w:tc>
          <w:tcPr>
            <w:tcW w:w="4090" w:type="dxa"/>
          </w:tcPr>
          <w:p w14:paraId="05119EDC" w14:textId="77777777" w:rsidR="007D7B7C" w:rsidRPr="004010D3" w:rsidRDefault="007D7B7C" w:rsidP="00467980">
            <w:pPr>
              <w:pStyle w:val="NoSpacing"/>
              <w:rPr>
                <w:rFonts w:cs="Arial"/>
                <w:sz w:val="22"/>
                <w:szCs w:val="22"/>
                <w:lang w:eastAsia="ja-JP"/>
              </w:rPr>
            </w:pPr>
            <w:r w:rsidRPr="004010D3">
              <w:rPr>
                <w:rFonts w:cs="Arial"/>
                <w:sz w:val="22"/>
                <w:szCs w:val="22"/>
                <w:lang w:eastAsia="ja-JP"/>
              </w:rPr>
              <w:t>10 parcels at £0.20 per week for 10 weeks = £20 storage cost</w:t>
            </w:r>
          </w:p>
          <w:p w14:paraId="20BB65CA" w14:textId="77777777" w:rsidR="007D7B7C" w:rsidRPr="004010D3" w:rsidRDefault="007D7B7C" w:rsidP="007D7B7C">
            <w:pPr>
              <w:rPr>
                <w:sz w:val="22"/>
                <w:szCs w:val="22"/>
                <w:lang w:eastAsia="ja-JP"/>
              </w:rPr>
            </w:pPr>
          </w:p>
          <w:p w14:paraId="6BC32F39" w14:textId="59C3087A" w:rsidR="007D7B7C" w:rsidRPr="004010D3" w:rsidRDefault="007D7B7C" w:rsidP="007D7B7C">
            <w:pPr>
              <w:rPr>
                <w:b/>
                <w:bCs/>
                <w:sz w:val="22"/>
                <w:szCs w:val="22"/>
                <w:lang w:eastAsia="ja-JP"/>
              </w:rPr>
            </w:pPr>
            <w:r w:rsidRPr="004010D3">
              <w:rPr>
                <w:b/>
                <w:bCs/>
                <w:sz w:val="22"/>
                <w:szCs w:val="22"/>
                <w:lang w:eastAsia="ja-JP"/>
              </w:rPr>
              <w:t>Net storage cost = £20</w:t>
            </w:r>
          </w:p>
        </w:tc>
      </w:tr>
      <w:tr w:rsidR="007D7B7C" w:rsidRPr="00BC0BD7" w14:paraId="0EDD0DE1" w14:textId="77777777" w:rsidTr="004010D3">
        <w:tc>
          <w:tcPr>
            <w:tcW w:w="2295" w:type="dxa"/>
          </w:tcPr>
          <w:p w14:paraId="04F3746D" w14:textId="384A6BFB" w:rsidR="007D7B7C" w:rsidRPr="004010D3" w:rsidRDefault="0049683E" w:rsidP="00467980">
            <w:pPr>
              <w:pStyle w:val="NoSpacing"/>
              <w:rPr>
                <w:rFonts w:cs="Arial"/>
                <w:sz w:val="22"/>
                <w:szCs w:val="22"/>
                <w:lang w:eastAsia="ja-JP"/>
              </w:rPr>
            </w:pPr>
            <w:r w:rsidRPr="004010D3">
              <w:rPr>
                <w:rFonts w:cs="Arial"/>
                <w:sz w:val="22"/>
                <w:szCs w:val="22"/>
                <w:lang w:eastAsia="ja-JP"/>
              </w:rPr>
              <w:t>Selling platform fees (eBay)</w:t>
            </w:r>
          </w:p>
        </w:tc>
        <w:tc>
          <w:tcPr>
            <w:tcW w:w="3249" w:type="dxa"/>
          </w:tcPr>
          <w:p w14:paraId="0AC6353F" w14:textId="2ABD23F3" w:rsidR="007D7B7C" w:rsidRPr="004010D3" w:rsidRDefault="0049683E" w:rsidP="00467980">
            <w:pPr>
              <w:pStyle w:val="NoSpacing"/>
              <w:rPr>
                <w:rFonts w:cs="Arial"/>
                <w:sz w:val="22"/>
                <w:szCs w:val="22"/>
                <w:lang w:eastAsia="ja-JP"/>
              </w:rPr>
            </w:pPr>
            <w:r w:rsidRPr="004010D3">
              <w:rPr>
                <w:rFonts w:cs="Arial"/>
                <w:sz w:val="22"/>
                <w:szCs w:val="22"/>
                <w:lang w:eastAsia="ja-JP"/>
              </w:rPr>
              <w:t xml:space="preserve">11% assuming all items sold on eBay – other platform fees (Amazon etc.) applied where appropriate, or value zero where </w:t>
            </w:r>
            <w:r w:rsidR="00A7098D">
              <w:rPr>
                <w:rFonts w:cs="Arial"/>
                <w:sz w:val="22"/>
                <w:szCs w:val="22"/>
                <w:lang w:eastAsia="ja-JP"/>
              </w:rPr>
              <w:t xml:space="preserve">items </w:t>
            </w:r>
            <w:r w:rsidRPr="004010D3">
              <w:rPr>
                <w:rFonts w:cs="Arial"/>
                <w:sz w:val="22"/>
                <w:szCs w:val="22"/>
                <w:lang w:eastAsia="ja-JP"/>
              </w:rPr>
              <w:t>sold direct or on Universal Resource Trading Limited’s own site</w:t>
            </w:r>
          </w:p>
        </w:tc>
        <w:tc>
          <w:tcPr>
            <w:tcW w:w="4090" w:type="dxa"/>
          </w:tcPr>
          <w:p w14:paraId="7390C94E" w14:textId="77777777" w:rsidR="007D7B7C" w:rsidRPr="004010D3" w:rsidRDefault="0049683E" w:rsidP="00467980">
            <w:pPr>
              <w:pStyle w:val="NoSpacing"/>
              <w:rPr>
                <w:rFonts w:cs="Arial"/>
                <w:sz w:val="22"/>
                <w:szCs w:val="22"/>
                <w:lang w:eastAsia="ja-JP"/>
              </w:rPr>
            </w:pPr>
            <w:r w:rsidRPr="004010D3">
              <w:rPr>
                <w:rFonts w:cs="Arial"/>
                <w:sz w:val="22"/>
                <w:szCs w:val="22"/>
                <w:lang w:eastAsia="ja-JP"/>
              </w:rPr>
              <w:t>£2000 x 0.11 = £220</w:t>
            </w:r>
          </w:p>
          <w:p w14:paraId="32D0FD89" w14:textId="77777777" w:rsidR="0049683E" w:rsidRPr="004010D3" w:rsidRDefault="0049683E" w:rsidP="00467980">
            <w:pPr>
              <w:pStyle w:val="NoSpacing"/>
              <w:rPr>
                <w:rFonts w:cs="Arial"/>
                <w:sz w:val="22"/>
                <w:szCs w:val="22"/>
                <w:lang w:eastAsia="ja-JP"/>
              </w:rPr>
            </w:pPr>
          </w:p>
          <w:p w14:paraId="185E36FB" w14:textId="77777777" w:rsidR="00A7098D" w:rsidRDefault="00A7098D" w:rsidP="00467980">
            <w:pPr>
              <w:pStyle w:val="NoSpacing"/>
              <w:rPr>
                <w:rFonts w:cs="Arial"/>
                <w:b/>
                <w:bCs/>
                <w:sz w:val="22"/>
                <w:szCs w:val="22"/>
                <w:lang w:eastAsia="ja-JP"/>
              </w:rPr>
            </w:pPr>
          </w:p>
          <w:p w14:paraId="709EDE7C" w14:textId="77777777" w:rsidR="00A7098D" w:rsidRDefault="00A7098D" w:rsidP="00467980">
            <w:pPr>
              <w:pStyle w:val="NoSpacing"/>
              <w:rPr>
                <w:rFonts w:cs="Arial"/>
                <w:b/>
                <w:bCs/>
                <w:sz w:val="22"/>
                <w:szCs w:val="22"/>
                <w:lang w:eastAsia="ja-JP"/>
              </w:rPr>
            </w:pPr>
          </w:p>
          <w:p w14:paraId="7A0009A8" w14:textId="77777777" w:rsidR="00A7098D" w:rsidRDefault="00A7098D" w:rsidP="00467980">
            <w:pPr>
              <w:pStyle w:val="NoSpacing"/>
              <w:rPr>
                <w:rFonts w:cs="Arial"/>
                <w:b/>
                <w:bCs/>
                <w:sz w:val="22"/>
                <w:szCs w:val="22"/>
                <w:lang w:eastAsia="ja-JP"/>
              </w:rPr>
            </w:pPr>
          </w:p>
          <w:p w14:paraId="70F5557A" w14:textId="6E7F5BFA" w:rsidR="0049683E" w:rsidRPr="004010D3" w:rsidRDefault="0049683E" w:rsidP="00467980">
            <w:pPr>
              <w:pStyle w:val="NoSpacing"/>
              <w:rPr>
                <w:rFonts w:cs="Arial"/>
                <w:b/>
                <w:bCs/>
                <w:sz w:val="22"/>
                <w:szCs w:val="22"/>
                <w:lang w:eastAsia="ja-JP"/>
              </w:rPr>
            </w:pPr>
            <w:r w:rsidRPr="004010D3">
              <w:rPr>
                <w:rFonts w:cs="Arial"/>
                <w:b/>
                <w:bCs/>
                <w:sz w:val="22"/>
                <w:szCs w:val="22"/>
                <w:lang w:eastAsia="ja-JP"/>
              </w:rPr>
              <w:t>Net selling platform fees = £220</w:t>
            </w:r>
          </w:p>
        </w:tc>
      </w:tr>
      <w:tr w:rsidR="007D7B7C" w:rsidRPr="00BC0BD7" w14:paraId="3B1A506B" w14:textId="77777777" w:rsidTr="004010D3">
        <w:tc>
          <w:tcPr>
            <w:tcW w:w="2295" w:type="dxa"/>
          </w:tcPr>
          <w:p w14:paraId="516A1B39" w14:textId="1C35C487" w:rsidR="007D7B7C" w:rsidRPr="004010D3" w:rsidRDefault="000444FE" w:rsidP="00467980">
            <w:pPr>
              <w:pStyle w:val="NoSpacing"/>
              <w:rPr>
                <w:rFonts w:cs="Arial"/>
                <w:sz w:val="22"/>
                <w:szCs w:val="22"/>
                <w:lang w:eastAsia="ja-JP"/>
              </w:rPr>
            </w:pPr>
            <w:r w:rsidRPr="004010D3">
              <w:rPr>
                <w:rFonts w:cs="Arial"/>
                <w:sz w:val="22"/>
                <w:szCs w:val="22"/>
                <w:lang w:eastAsia="ja-JP"/>
              </w:rPr>
              <w:t>Financial transaction fees</w:t>
            </w:r>
          </w:p>
        </w:tc>
        <w:tc>
          <w:tcPr>
            <w:tcW w:w="3249" w:type="dxa"/>
          </w:tcPr>
          <w:p w14:paraId="6EA3332B" w14:textId="00DF9F14" w:rsidR="007D7B7C" w:rsidRPr="004010D3" w:rsidRDefault="004010D3" w:rsidP="00467980">
            <w:pPr>
              <w:pStyle w:val="NoSpacing"/>
              <w:rPr>
                <w:rFonts w:cs="Arial"/>
                <w:sz w:val="22"/>
                <w:szCs w:val="22"/>
                <w:lang w:eastAsia="ja-JP"/>
              </w:rPr>
            </w:pPr>
            <w:r w:rsidRPr="004010D3">
              <w:rPr>
                <w:rFonts w:cs="Arial"/>
                <w:sz w:val="22"/>
                <w:szCs w:val="22"/>
                <w:lang w:eastAsia="ja-JP"/>
              </w:rPr>
              <w:t>3.4% + 20p</w:t>
            </w:r>
          </w:p>
        </w:tc>
        <w:tc>
          <w:tcPr>
            <w:tcW w:w="4090" w:type="dxa"/>
          </w:tcPr>
          <w:p w14:paraId="5F2F37C1" w14:textId="709BCFB2" w:rsidR="007D7B7C" w:rsidRPr="004010D3" w:rsidRDefault="004010D3" w:rsidP="00467980">
            <w:pPr>
              <w:pStyle w:val="NoSpacing"/>
              <w:rPr>
                <w:rFonts w:cs="Arial"/>
                <w:sz w:val="22"/>
                <w:szCs w:val="22"/>
                <w:lang w:eastAsia="ja-JP"/>
              </w:rPr>
            </w:pPr>
            <w:r w:rsidRPr="004010D3">
              <w:rPr>
                <w:rFonts w:cs="Arial"/>
                <w:sz w:val="22"/>
                <w:szCs w:val="22"/>
                <w:lang w:eastAsia="ja-JP"/>
              </w:rPr>
              <w:t>(</w:t>
            </w:r>
            <w:r w:rsidR="000444FE" w:rsidRPr="004010D3">
              <w:rPr>
                <w:rFonts w:cs="Arial"/>
                <w:sz w:val="22"/>
                <w:szCs w:val="22"/>
                <w:lang w:eastAsia="ja-JP"/>
              </w:rPr>
              <w:t>£2000 x 0.034</w:t>
            </w:r>
            <w:r w:rsidRPr="004010D3">
              <w:rPr>
                <w:rFonts w:cs="Arial"/>
                <w:sz w:val="22"/>
                <w:szCs w:val="22"/>
                <w:lang w:eastAsia="ja-JP"/>
              </w:rPr>
              <w:t>)</w:t>
            </w:r>
            <w:r w:rsidR="000444FE" w:rsidRPr="004010D3">
              <w:rPr>
                <w:rFonts w:cs="Arial"/>
                <w:sz w:val="22"/>
                <w:szCs w:val="22"/>
                <w:lang w:eastAsia="ja-JP"/>
              </w:rPr>
              <w:t xml:space="preserve"> + 20p = £68.20</w:t>
            </w:r>
          </w:p>
          <w:p w14:paraId="4EB631E3" w14:textId="77777777" w:rsidR="000444FE" w:rsidRPr="004010D3" w:rsidRDefault="000444FE" w:rsidP="00467980">
            <w:pPr>
              <w:pStyle w:val="NoSpacing"/>
              <w:rPr>
                <w:rFonts w:cs="Arial"/>
                <w:sz w:val="22"/>
                <w:szCs w:val="22"/>
                <w:lang w:eastAsia="ja-JP"/>
              </w:rPr>
            </w:pPr>
          </w:p>
          <w:p w14:paraId="05EEF42F" w14:textId="0D962219" w:rsidR="000444FE" w:rsidRPr="004010D3" w:rsidRDefault="000444FE" w:rsidP="00467980">
            <w:pPr>
              <w:pStyle w:val="NoSpacing"/>
              <w:rPr>
                <w:rFonts w:cs="Arial"/>
                <w:b/>
                <w:bCs/>
                <w:sz w:val="22"/>
                <w:szCs w:val="22"/>
                <w:lang w:eastAsia="ja-JP"/>
              </w:rPr>
            </w:pPr>
            <w:r w:rsidRPr="004010D3">
              <w:rPr>
                <w:rFonts w:cs="Arial"/>
                <w:b/>
                <w:bCs/>
                <w:sz w:val="22"/>
                <w:szCs w:val="22"/>
                <w:lang w:eastAsia="ja-JP"/>
              </w:rPr>
              <w:t>Net financial transaction fees = £68.20</w:t>
            </w:r>
          </w:p>
        </w:tc>
      </w:tr>
      <w:tr w:rsidR="0049683E" w:rsidRPr="00BC0BD7" w14:paraId="07601F51" w14:textId="77777777" w:rsidTr="004010D3">
        <w:tc>
          <w:tcPr>
            <w:tcW w:w="2295" w:type="dxa"/>
          </w:tcPr>
          <w:p w14:paraId="0874C4C7" w14:textId="0EDF5BC8" w:rsidR="0049683E" w:rsidRPr="004010D3" w:rsidRDefault="004010D3" w:rsidP="00467980">
            <w:pPr>
              <w:pStyle w:val="NoSpacing"/>
              <w:rPr>
                <w:rFonts w:cs="Arial"/>
                <w:sz w:val="22"/>
                <w:szCs w:val="22"/>
                <w:lang w:eastAsia="ja-JP"/>
              </w:rPr>
            </w:pPr>
            <w:r w:rsidRPr="004010D3">
              <w:rPr>
                <w:rFonts w:cs="Arial"/>
                <w:sz w:val="22"/>
                <w:szCs w:val="22"/>
                <w:lang w:eastAsia="ja-JP"/>
              </w:rPr>
              <w:t>Customer distribution</w:t>
            </w:r>
          </w:p>
        </w:tc>
        <w:tc>
          <w:tcPr>
            <w:tcW w:w="3249" w:type="dxa"/>
          </w:tcPr>
          <w:p w14:paraId="02ADCBC1" w14:textId="4DEABD04" w:rsidR="0049683E" w:rsidRPr="004010D3" w:rsidRDefault="004010D3" w:rsidP="00467980">
            <w:pPr>
              <w:pStyle w:val="NoSpacing"/>
              <w:rPr>
                <w:rFonts w:cs="Arial"/>
                <w:sz w:val="22"/>
                <w:szCs w:val="22"/>
                <w:lang w:eastAsia="ja-JP"/>
              </w:rPr>
            </w:pPr>
            <w:r w:rsidRPr="004010D3">
              <w:rPr>
                <w:rFonts w:cs="Arial"/>
                <w:sz w:val="22"/>
                <w:szCs w:val="22"/>
                <w:lang w:eastAsia="ja-JP"/>
              </w:rPr>
              <w:t>Assuming all parcels are 25kg, incurring a standard cost of £8.00 for shipping itself, + £4.00 per packet for a double walled cardboard box &amp; supplies</w:t>
            </w:r>
          </w:p>
        </w:tc>
        <w:tc>
          <w:tcPr>
            <w:tcW w:w="4090" w:type="dxa"/>
          </w:tcPr>
          <w:p w14:paraId="6DAB5909" w14:textId="77777777" w:rsidR="0049683E" w:rsidRPr="004010D3" w:rsidRDefault="004010D3" w:rsidP="00467980">
            <w:pPr>
              <w:pStyle w:val="NoSpacing"/>
              <w:rPr>
                <w:rFonts w:cs="Arial"/>
                <w:sz w:val="22"/>
                <w:szCs w:val="22"/>
                <w:lang w:eastAsia="ja-JP"/>
              </w:rPr>
            </w:pPr>
            <w:r w:rsidRPr="004010D3">
              <w:rPr>
                <w:rFonts w:cs="Arial"/>
                <w:sz w:val="22"/>
                <w:szCs w:val="22"/>
                <w:lang w:eastAsia="ja-JP"/>
              </w:rPr>
              <w:t>10 parcels at £12.00/each = £120</w:t>
            </w:r>
          </w:p>
          <w:p w14:paraId="1472C227" w14:textId="77777777" w:rsidR="004010D3" w:rsidRPr="004010D3" w:rsidRDefault="004010D3" w:rsidP="004010D3">
            <w:pPr>
              <w:rPr>
                <w:rFonts w:cs="Arial"/>
                <w:sz w:val="22"/>
                <w:szCs w:val="22"/>
                <w:lang w:eastAsia="ja-JP"/>
              </w:rPr>
            </w:pPr>
          </w:p>
          <w:p w14:paraId="0466AB81" w14:textId="77777777" w:rsidR="00A7098D" w:rsidRDefault="00A7098D" w:rsidP="004010D3">
            <w:pPr>
              <w:rPr>
                <w:b/>
                <w:bCs/>
                <w:sz w:val="22"/>
                <w:szCs w:val="22"/>
                <w:lang w:eastAsia="ja-JP"/>
              </w:rPr>
            </w:pPr>
          </w:p>
          <w:p w14:paraId="606E6D33" w14:textId="7B97AA21" w:rsidR="004010D3" w:rsidRPr="004010D3" w:rsidRDefault="004010D3" w:rsidP="004010D3">
            <w:pPr>
              <w:rPr>
                <w:b/>
                <w:bCs/>
                <w:sz w:val="22"/>
                <w:szCs w:val="22"/>
                <w:lang w:eastAsia="ja-JP"/>
              </w:rPr>
            </w:pPr>
            <w:r w:rsidRPr="004010D3">
              <w:rPr>
                <w:b/>
                <w:bCs/>
                <w:sz w:val="22"/>
                <w:szCs w:val="22"/>
                <w:lang w:eastAsia="ja-JP"/>
              </w:rPr>
              <w:t>Net shipping cost = £120</w:t>
            </w:r>
          </w:p>
        </w:tc>
      </w:tr>
      <w:tr w:rsidR="004010D3" w:rsidRPr="00BC0BD7" w14:paraId="45DEDFA2" w14:textId="77777777" w:rsidTr="004010D3">
        <w:tc>
          <w:tcPr>
            <w:tcW w:w="5544" w:type="dxa"/>
            <w:gridSpan w:val="2"/>
            <w:shd w:val="clear" w:color="auto" w:fill="1F3864" w:themeFill="accent5" w:themeFillShade="80"/>
          </w:tcPr>
          <w:p w14:paraId="6F98B065" w14:textId="05CB7DED" w:rsidR="004010D3" w:rsidRPr="00A7098D" w:rsidRDefault="004010D3" w:rsidP="00467980">
            <w:pPr>
              <w:pStyle w:val="NoSpacing"/>
              <w:rPr>
                <w:rFonts w:cs="Arial"/>
                <w:b/>
                <w:bCs/>
                <w:sz w:val="22"/>
                <w:szCs w:val="22"/>
                <w:lang w:eastAsia="ja-JP"/>
              </w:rPr>
            </w:pPr>
            <w:r w:rsidRPr="00A7098D">
              <w:rPr>
                <w:rFonts w:cs="Arial"/>
                <w:b/>
                <w:bCs/>
                <w:sz w:val="22"/>
                <w:szCs w:val="22"/>
                <w:lang w:eastAsia="ja-JP"/>
              </w:rPr>
              <w:t>Net Cost</w:t>
            </w:r>
          </w:p>
        </w:tc>
        <w:tc>
          <w:tcPr>
            <w:tcW w:w="4090" w:type="dxa"/>
          </w:tcPr>
          <w:p w14:paraId="4FB3F585" w14:textId="457B1175" w:rsidR="004010D3" w:rsidRPr="004010D3" w:rsidRDefault="004010D3" w:rsidP="00467980">
            <w:pPr>
              <w:pStyle w:val="NoSpacing"/>
              <w:rPr>
                <w:rFonts w:cs="Arial"/>
                <w:b/>
                <w:bCs/>
                <w:sz w:val="22"/>
                <w:szCs w:val="22"/>
                <w:lang w:eastAsia="ja-JP"/>
              </w:rPr>
            </w:pPr>
            <w:r w:rsidRPr="004010D3">
              <w:rPr>
                <w:rFonts w:cs="Arial"/>
                <w:b/>
                <w:bCs/>
                <w:sz w:val="22"/>
                <w:szCs w:val="22"/>
                <w:lang w:eastAsia="ja-JP"/>
              </w:rPr>
              <w:t>£590.80</w:t>
            </w:r>
          </w:p>
        </w:tc>
      </w:tr>
      <w:tr w:rsidR="004010D3" w:rsidRPr="00BC0BD7" w14:paraId="567FA950" w14:textId="77777777" w:rsidTr="004010D3">
        <w:tc>
          <w:tcPr>
            <w:tcW w:w="5544" w:type="dxa"/>
            <w:gridSpan w:val="2"/>
            <w:shd w:val="clear" w:color="auto" w:fill="1F3864" w:themeFill="accent5" w:themeFillShade="80"/>
          </w:tcPr>
          <w:p w14:paraId="03A1EBD6" w14:textId="589EC2FB" w:rsidR="004010D3" w:rsidRPr="00A7098D" w:rsidRDefault="004010D3" w:rsidP="00467980">
            <w:pPr>
              <w:pStyle w:val="NoSpacing"/>
              <w:rPr>
                <w:rFonts w:cs="Arial"/>
                <w:b/>
                <w:bCs/>
                <w:sz w:val="22"/>
                <w:szCs w:val="22"/>
                <w:lang w:eastAsia="ja-JP"/>
              </w:rPr>
            </w:pPr>
            <w:r w:rsidRPr="00A7098D">
              <w:rPr>
                <w:rFonts w:cs="Arial"/>
                <w:b/>
                <w:bCs/>
                <w:sz w:val="22"/>
                <w:szCs w:val="22"/>
                <w:lang w:eastAsia="ja-JP"/>
              </w:rPr>
              <w:t>Net Profit</w:t>
            </w:r>
          </w:p>
        </w:tc>
        <w:tc>
          <w:tcPr>
            <w:tcW w:w="4090" w:type="dxa"/>
          </w:tcPr>
          <w:p w14:paraId="75E11215" w14:textId="07C6571D" w:rsidR="004010D3" w:rsidRPr="004010D3" w:rsidRDefault="004010D3" w:rsidP="00467980">
            <w:pPr>
              <w:pStyle w:val="NoSpacing"/>
              <w:rPr>
                <w:rFonts w:cs="Arial"/>
                <w:b/>
                <w:bCs/>
                <w:sz w:val="22"/>
                <w:szCs w:val="22"/>
                <w:lang w:eastAsia="ja-JP"/>
              </w:rPr>
            </w:pPr>
            <w:r w:rsidRPr="004010D3">
              <w:rPr>
                <w:rFonts w:cs="Arial"/>
                <w:b/>
                <w:bCs/>
                <w:sz w:val="22"/>
                <w:szCs w:val="22"/>
                <w:lang w:eastAsia="ja-JP"/>
              </w:rPr>
              <w:t>£2000 - £590.80 = £1,409.20</w:t>
            </w:r>
          </w:p>
        </w:tc>
      </w:tr>
      <w:tr w:rsidR="004010D3" w:rsidRPr="00BC0BD7" w14:paraId="0BA2030E" w14:textId="77777777" w:rsidTr="004010D3">
        <w:tc>
          <w:tcPr>
            <w:tcW w:w="5544" w:type="dxa"/>
            <w:gridSpan w:val="2"/>
            <w:shd w:val="clear" w:color="auto" w:fill="1F3864" w:themeFill="accent5" w:themeFillShade="80"/>
          </w:tcPr>
          <w:p w14:paraId="439F1C7B" w14:textId="273E0359" w:rsidR="004010D3" w:rsidRPr="00A7098D" w:rsidRDefault="004010D3" w:rsidP="00467980">
            <w:pPr>
              <w:pStyle w:val="NoSpacing"/>
              <w:rPr>
                <w:rFonts w:cs="Arial"/>
                <w:b/>
                <w:bCs/>
                <w:sz w:val="22"/>
                <w:szCs w:val="22"/>
                <w:lang w:eastAsia="ja-JP"/>
              </w:rPr>
            </w:pPr>
            <w:r w:rsidRPr="00A7098D">
              <w:rPr>
                <w:rFonts w:cs="Arial"/>
                <w:b/>
                <w:bCs/>
                <w:sz w:val="22"/>
                <w:szCs w:val="22"/>
                <w:lang w:eastAsia="ja-JP"/>
              </w:rPr>
              <w:t>University rebate</w:t>
            </w:r>
          </w:p>
        </w:tc>
        <w:tc>
          <w:tcPr>
            <w:tcW w:w="4090" w:type="dxa"/>
          </w:tcPr>
          <w:p w14:paraId="4A146636" w14:textId="77645E0D" w:rsidR="004010D3" w:rsidRPr="004010D3" w:rsidRDefault="004010D3" w:rsidP="00467980">
            <w:pPr>
              <w:pStyle w:val="NoSpacing"/>
              <w:rPr>
                <w:rFonts w:cs="Arial"/>
                <w:b/>
                <w:bCs/>
                <w:sz w:val="22"/>
                <w:szCs w:val="22"/>
                <w:lang w:eastAsia="ja-JP"/>
              </w:rPr>
            </w:pPr>
            <w:r w:rsidRPr="004010D3">
              <w:rPr>
                <w:rFonts w:cs="Arial"/>
                <w:b/>
                <w:bCs/>
                <w:sz w:val="22"/>
                <w:szCs w:val="22"/>
                <w:lang w:eastAsia="ja-JP"/>
              </w:rPr>
              <w:t>£1,409.20 / 2 (50:50 profit split) = £704.60</w:t>
            </w:r>
          </w:p>
        </w:tc>
      </w:tr>
    </w:tbl>
    <w:p w14:paraId="2CF5D03A" w14:textId="65F5ED82" w:rsidR="00677850" w:rsidRPr="00677850" w:rsidRDefault="00677850" w:rsidP="007D7B7C">
      <w:pPr>
        <w:tabs>
          <w:tab w:val="left" w:pos="975"/>
        </w:tabs>
        <w:rPr>
          <w:rFonts w:cs="Arial"/>
          <w:sz w:val="20"/>
          <w:szCs w:val="18"/>
        </w:rPr>
      </w:pPr>
      <w:r w:rsidRPr="00677850">
        <w:rPr>
          <w:rFonts w:cs="Arial"/>
          <w:sz w:val="20"/>
          <w:szCs w:val="18"/>
        </w:rPr>
        <w:t xml:space="preserve">*Where multiple projects are completed in a single collection day, </w:t>
      </w:r>
      <w:r w:rsidR="0089417A" w:rsidRPr="00677850">
        <w:rPr>
          <w:rFonts w:cs="Arial"/>
          <w:sz w:val="20"/>
          <w:szCs w:val="18"/>
        </w:rPr>
        <w:t>the</w:t>
      </w:r>
      <w:r w:rsidRPr="00677850">
        <w:rPr>
          <w:rFonts w:cs="Arial"/>
          <w:sz w:val="20"/>
          <w:szCs w:val="18"/>
        </w:rPr>
        <w:t xml:space="preserve"> costs outlined are spread across the multiple projects, reducing the costs of the project and increasing the rebate for the project.</w:t>
      </w:r>
    </w:p>
    <w:p w14:paraId="66430279" w14:textId="74AD0716" w:rsidR="007D7B7C" w:rsidRDefault="00677850" w:rsidP="007D7B7C">
      <w:pPr>
        <w:tabs>
          <w:tab w:val="left" w:pos="975"/>
        </w:tabs>
        <w:rPr>
          <w:rFonts w:cs="Arial"/>
          <w:sz w:val="20"/>
          <w:szCs w:val="18"/>
        </w:rPr>
      </w:pPr>
      <w:r w:rsidRPr="00677850">
        <w:rPr>
          <w:rFonts w:cs="Arial"/>
          <w:sz w:val="20"/>
          <w:szCs w:val="18"/>
        </w:rPr>
        <w:t>*</w:t>
      </w:r>
      <w:r w:rsidR="007D7B7C" w:rsidRPr="00677850">
        <w:rPr>
          <w:rFonts w:cs="Arial"/>
          <w:sz w:val="20"/>
          <w:szCs w:val="18"/>
        </w:rPr>
        <w:t>*</w:t>
      </w:r>
      <w:r w:rsidR="004010D3" w:rsidRPr="00677850">
        <w:rPr>
          <w:rFonts w:cs="Arial"/>
          <w:sz w:val="20"/>
          <w:szCs w:val="18"/>
        </w:rPr>
        <w:t>In</w:t>
      </w:r>
      <w:r w:rsidR="007D7B7C" w:rsidRPr="00677850">
        <w:rPr>
          <w:rFonts w:cs="Arial"/>
          <w:sz w:val="20"/>
          <w:szCs w:val="18"/>
        </w:rPr>
        <w:t xml:space="preserve"> the above example, all items sold at 10 weeks.</w:t>
      </w:r>
      <w:r w:rsidR="00E41470" w:rsidRPr="00677850">
        <w:rPr>
          <w:rFonts w:cs="Arial"/>
          <w:sz w:val="20"/>
          <w:szCs w:val="18"/>
        </w:rPr>
        <w:t xml:space="preserve"> Storage costs are only charged for each item according to the number of days each item was held in storage.</w:t>
      </w:r>
    </w:p>
    <w:p w14:paraId="48EEFE5B" w14:textId="53BA0804" w:rsidR="00E41ABC" w:rsidRDefault="00E41ABC" w:rsidP="00E41ABC">
      <w:pPr>
        <w:rPr>
          <w:rFonts w:cs="Arial"/>
          <w:b/>
          <w:bCs/>
          <w:color w:val="1F3864" w:themeColor="accent5" w:themeShade="80"/>
          <w:sz w:val="32"/>
          <w:szCs w:val="28"/>
        </w:rPr>
      </w:pPr>
      <w:r w:rsidRPr="003607C0">
        <w:rPr>
          <w:rFonts w:cs="Arial"/>
          <w:b/>
          <w:bCs/>
          <w:color w:val="1F3864" w:themeColor="accent5" w:themeShade="80"/>
          <w:sz w:val="32"/>
          <w:szCs w:val="28"/>
        </w:rPr>
        <w:lastRenderedPageBreak/>
        <w:t xml:space="preserve">Appendix </w:t>
      </w:r>
      <w:r>
        <w:rPr>
          <w:rFonts w:cs="Arial"/>
          <w:b/>
          <w:bCs/>
          <w:color w:val="1F3864" w:themeColor="accent5" w:themeShade="80"/>
          <w:sz w:val="32"/>
          <w:szCs w:val="28"/>
        </w:rPr>
        <w:t>2</w:t>
      </w:r>
      <w:r w:rsidRPr="003607C0">
        <w:rPr>
          <w:rFonts w:cs="Arial"/>
          <w:b/>
          <w:bCs/>
          <w:color w:val="1F3864" w:themeColor="accent5" w:themeShade="80"/>
          <w:sz w:val="32"/>
          <w:szCs w:val="28"/>
        </w:rPr>
        <w:t xml:space="preserve">: </w:t>
      </w:r>
      <w:r w:rsidR="00AB7D3B">
        <w:rPr>
          <w:rFonts w:cs="Arial"/>
          <w:b/>
          <w:bCs/>
          <w:color w:val="1F3864" w:themeColor="accent5" w:themeShade="80"/>
          <w:sz w:val="32"/>
          <w:szCs w:val="28"/>
        </w:rPr>
        <w:t>Types of equipment collected</w:t>
      </w:r>
      <w:r w:rsidR="0089417A">
        <w:rPr>
          <w:rFonts w:cs="Arial"/>
          <w:b/>
          <w:bCs/>
          <w:color w:val="1F3864" w:themeColor="accent5" w:themeShade="80"/>
          <w:sz w:val="32"/>
          <w:szCs w:val="28"/>
        </w:rPr>
        <w:t>:</w:t>
      </w:r>
    </w:p>
    <w:tbl>
      <w:tblPr>
        <w:tblStyle w:val="TableGrid"/>
        <w:tblW w:w="9634" w:type="dxa"/>
        <w:tblLook w:val="04A0" w:firstRow="1" w:lastRow="0" w:firstColumn="1" w:lastColumn="0" w:noHBand="0" w:noVBand="1"/>
      </w:tblPr>
      <w:tblGrid>
        <w:gridCol w:w="2972"/>
        <w:gridCol w:w="6662"/>
      </w:tblGrid>
      <w:tr w:rsidR="008323E1" w14:paraId="6EA80A94" w14:textId="77777777" w:rsidTr="00C16FA0">
        <w:tc>
          <w:tcPr>
            <w:tcW w:w="9634" w:type="dxa"/>
            <w:gridSpan w:val="2"/>
            <w:shd w:val="clear" w:color="auto" w:fill="1F3864" w:themeFill="accent5" w:themeFillShade="80"/>
          </w:tcPr>
          <w:p w14:paraId="13A65217" w14:textId="06F9C441" w:rsidR="008323E1" w:rsidRPr="00CF7612" w:rsidRDefault="00C471F2" w:rsidP="007D7B7C">
            <w:pPr>
              <w:tabs>
                <w:tab w:val="left" w:pos="975"/>
              </w:tabs>
              <w:rPr>
                <w:rFonts w:cs="Arial"/>
                <w:b/>
                <w:bCs/>
                <w:sz w:val="22"/>
                <w:szCs w:val="20"/>
              </w:rPr>
            </w:pPr>
            <w:r w:rsidRPr="00CF7612">
              <w:rPr>
                <w:rFonts w:cs="Arial"/>
                <w:b/>
                <w:bCs/>
                <w:sz w:val="22"/>
                <w:szCs w:val="20"/>
              </w:rPr>
              <w:t>Scientific</w:t>
            </w:r>
            <w:r w:rsidR="007D17AF">
              <w:rPr>
                <w:rFonts w:cs="Arial"/>
                <w:b/>
                <w:bCs/>
                <w:sz w:val="22"/>
                <w:szCs w:val="20"/>
              </w:rPr>
              <w:t>/Workshop</w:t>
            </w:r>
            <w:r w:rsidRPr="00CF7612">
              <w:rPr>
                <w:rFonts w:cs="Arial"/>
                <w:b/>
                <w:bCs/>
                <w:sz w:val="22"/>
                <w:szCs w:val="20"/>
              </w:rPr>
              <w:t xml:space="preserve"> Equipment</w:t>
            </w:r>
          </w:p>
        </w:tc>
      </w:tr>
      <w:tr w:rsidR="002A771A" w14:paraId="74D10B04" w14:textId="77777777" w:rsidTr="00C16FA0">
        <w:tc>
          <w:tcPr>
            <w:tcW w:w="9634" w:type="dxa"/>
            <w:gridSpan w:val="2"/>
            <w:shd w:val="clear" w:color="auto" w:fill="00FF00"/>
          </w:tcPr>
          <w:p w14:paraId="14DCC728" w14:textId="00D05529" w:rsidR="002A771A" w:rsidRPr="00CF7612" w:rsidRDefault="002A771A" w:rsidP="007D7B7C">
            <w:pPr>
              <w:tabs>
                <w:tab w:val="left" w:pos="975"/>
              </w:tabs>
              <w:rPr>
                <w:rFonts w:cs="Arial"/>
                <w:b/>
                <w:bCs/>
                <w:sz w:val="22"/>
                <w:szCs w:val="20"/>
              </w:rPr>
            </w:pPr>
            <w:r w:rsidRPr="00CF7612">
              <w:rPr>
                <w:rFonts w:cs="Arial"/>
                <w:b/>
                <w:bCs/>
                <w:sz w:val="22"/>
                <w:szCs w:val="20"/>
              </w:rPr>
              <w:t>Usually collected</w:t>
            </w:r>
          </w:p>
        </w:tc>
      </w:tr>
      <w:tr w:rsidR="00742C8F" w14:paraId="1A1FEA80" w14:textId="77777777" w:rsidTr="00C16FA0">
        <w:tc>
          <w:tcPr>
            <w:tcW w:w="2972" w:type="dxa"/>
          </w:tcPr>
          <w:p w14:paraId="72E915EB" w14:textId="0E3262A9" w:rsidR="00742C8F" w:rsidRPr="00CF7612" w:rsidRDefault="00742C8F" w:rsidP="00742C8F">
            <w:pPr>
              <w:tabs>
                <w:tab w:val="left" w:pos="975"/>
              </w:tabs>
              <w:rPr>
                <w:rFonts w:cs="Arial"/>
                <w:sz w:val="22"/>
                <w:szCs w:val="20"/>
              </w:rPr>
            </w:pPr>
            <w:r>
              <w:rPr>
                <w:rFonts w:cs="Arial"/>
                <w:sz w:val="22"/>
                <w:szCs w:val="20"/>
              </w:rPr>
              <w:t>Engineering &amp; Workshop</w:t>
            </w:r>
          </w:p>
        </w:tc>
        <w:tc>
          <w:tcPr>
            <w:tcW w:w="6662" w:type="dxa"/>
          </w:tcPr>
          <w:p w14:paraId="72FAC9E2" w14:textId="3DFF976E" w:rsidR="00742C8F" w:rsidRPr="00CF7612" w:rsidRDefault="00742C8F" w:rsidP="00742C8F">
            <w:pPr>
              <w:tabs>
                <w:tab w:val="left" w:pos="975"/>
              </w:tabs>
              <w:rPr>
                <w:rFonts w:cs="Arial"/>
                <w:sz w:val="22"/>
                <w:szCs w:val="20"/>
              </w:rPr>
            </w:pPr>
            <w:r>
              <w:rPr>
                <w:rFonts w:cs="Arial"/>
                <w:sz w:val="22"/>
                <w:szCs w:val="20"/>
              </w:rPr>
              <w:t>Lathes, saws, pillar drills, sanders, milling machines etc.</w:t>
            </w:r>
          </w:p>
        </w:tc>
      </w:tr>
      <w:tr w:rsidR="008323E1" w14:paraId="6D53326D" w14:textId="77777777" w:rsidTr="00C16FA0">
        <w:tc>
          <w:tcPr>
            <w:tcW w:w="2972" w:type="dxa"/>
          </w:tcPr>
          <w:p w14:paraId="12A08F38" w14:textId="3C8623E9" w:rsidR="008323E1" w:rsidRPr="00CF7612" w:rsidRDefault="00C471F2" w:rsidP="007D7B7C">
            <w:pPr>
              <w:tabs>
                <w:tab w:val="left" w:pos="975"/>
              </w:tabs>
              <w:rPr>
                <w:rFonts w:cs="Arial"/>
                <w:sz w:val="22"/>
                <w:szCs w:val="20"/>
              </w:rPr>
            </w:pPr>
            <w:r w:rsidRPr="00CF7612">
              <w:rPr>
                <w:rFonts w:cs="Arial"/>
                <w:sz w:val="22"/>
                <w:szCs w:val="20"/>
              </w:rPr>
              <w:t>Analytical Instruments</w:t>
            </w:r>
          </w:p>
        </w:tc>
        <w:tc>
          <w:tcPr>
            <w:tcW w:w="6662" w:type="dxa"/>
          </w:tcPr>
          <w:p w14:paraId="34A30713" w14:textId="72899CF7" w:rsidR="008323E1" w:rsidRPr="00CF7612" w:rsidRDefault="00C471F2" w:rsidP="007D7B7C">
            <w:pPr>
              <w:tabs>
                <w:tab w:val="left" w:pos="975"/>
              </w:tabs>
              <w:rPr>
                <w:rFonts w:cs="Arial"/>
                <w:sz w:val="22"/>
                <w:szCs w:val="20"/>
              </w:rPr>
            </w:pPr>
            <w:r w:rsidRPr="00CF7612">
              <w:rPr>
                <w:rFonts w:cs="Arial"/>
                <w:sz w:val="22"/>
                <w:szCs w:val="20"/>
              </w:rPr>
              <w:t>HPLC, FPLC, GC, UV/Vis, FTIR, MS, AA etc.</w:t>
            </w:r>
          </w:p>
        </w:tc>
      </w:tr>
      <w:tr w:rsidR="008323E1" w14:paraId="5AA37190" w14:textId="77777777" w:rsidTr="00C16FA0">
        <w:tc>
          <w:tcPr>
            <w:tcW w:w="2972" w:type="dxa"/>
          </w:tcPr>
          <w:p w14:paraId="2BC2673A" w14:textId="29A75989" w:rsidR="008323E1" w:rsidRPr="00CF7612" w:rsidRDefault="00C471F2" w:rsidP="007D7B7C">
            <w:pPr>
              <w:tabs>
                <w:tab w:val="left" w:pos="975"/>
              </w:tabs>
              <w:rPr>
                <w:rFonts w:cs="Arial"/>
                <w:sz w:val="22"/>
                <w:szCs w:val="20"/>
              </w:rPr>
            </w:pPr>
            <w:r w:rsidRPr="00CF7612">
              <w:rPr>
                <w:rFonts w:cs="Arial"/>
                <w:sz w:val="22"/>
                <w:szCs w:val="20"/>
              </w:rPr>
              <w:t>Biological Safety Cabinets</w:t>
            </w:r>
          </w:p>
        </w:tc>
        <w:tc>
          <w:tcPr>
            <w:tcW w:w="6662" w:type="dxa"/>
          </w:tcPr>
          <w:p w14:paraId="5BFED7A3" w14:textId="61545DB1" w:rsidR="008323E1" w:rsidRPr="00CF7612" w:rsidRDefault="00C471F2" w:rsidP="007D7B7C">
            <w:pPr>
              <w:tabs>
                <w:tab w:val="left" w:pos="975"/>
              </w:tabs>
              <w:rPr>
                <w:rFonts w:cs="Arial"/>
                <w:sz w:val="22"/>
                <w:szCs w:val="20"/>
              </w:rPr>
            </w:pPr>
            <w:r w:rsidRPr="00CF7612">
              <w:rPr>
                <w:rFonts w:cs="Arial"/>
                <w:sz w:val="22"/>
                <w:szCs w:val="20"/>
              </w:rPr>
              <w:t>Class 3, Glovebox</w:t>
            </w:r>
          </w:p>
        </w:tc>
      </w:tr>
      <w:tr w:rsidR="008323E1" w14:paraId="6437EFD8" w14:textId="77777777" w:rsidTr="00C16FA0">
        <w:tc>
          <w:tcPr>
            <w:tcW w:w="2972" w:type="dxa"/>
          </w:tcPr>
          <w:p w14:paraId="4B4889FD" w14:textId="67F7E04F" w:rsidR="008323E1" w:rsidRPr="00CF7612" w:rsidRDefault="00C471F2" w:rsidP="007D7B7C">
            <w:pPr>
              <w:tabs>
                <w:tab w:val="left" w:pos="975"/>
              </w:tabs>
              <w:rPr>
                <w:rFonts w:cs="Arial"/>
                <w:sz w:val="22"/>
                <w:szCs w:val="20"/>
              </w:rPr>
            </w:pPr>
            <w:r w:rsidRPr="00CF7612">
              <w:rPr>
                <w:rFonts w:cs="Arial"/>
                <w:sz w:val="22"/>
                <w:szCs w:val="20"/>
              </w:rPr>
              <w:t>Biotech</w:t>
            </w:r>
          </w:p>
        </w:tc>
        <w:tc>
          <w:tcPr>
            <w:tcW w:w="6662" w:type="dxa"/>
          </w:tcPr>
          <w:p w14:paraId="38E27F3C" w14:textId="2F27F59C" w:rsidR="008323E1" w:rsidRPr="00CF7612" w:rsidRDefault="00C471F2" w:rsidP="007D7B7C">
            <w:pPr>
              <w:tabs>
                <w:tab w:val="left" w:pos="975"/>
              </w:tabs>
              <w:rPr>
                <w:rFonts w:cs="Arial"/>
                <w:sz w:val="22"/>
                <w:szCs w:val="20"/>
              </w:rPr>
            </w:pPr>
            <w:r w:rsidRPr="00CF7612">
              <w:rPr>
                <w:rFonts w:cs="Arial"/>
                <w:sz w:val="22"/>
                <w:szCs w:val="20"/>
              </w:rPr>
              <w:t>Imagers, PCR</w:t>
            </w:r>
          </w:p>
        </w:tc>
      </w:tr>
      <w:tr w:rsidR="008323E1" w14:paraId="64805B95" w14:textId="77777777" w:rsidTr="00C16FA0">
        <w:tc>
          <w:tcPr>
            <w:tcW w:w="2972" w:type="dxa"/>
          </w:tcPr>
          <w:p w14:paraId="50F92382" w14:textId="07FE6BA8" w:rsidR="008323E1" w:rsidRPr="00CF7612" w:rsidRDefault="00C471F2" w:rsidP="007D7B7C">
            <w:pPr>
              <w:tabs>
                <w:tab w:val="left" w:pos="975"/>
              </w:tabs>
              <w:rPr>
                <w:rFonts w:cs="Arial"/>
                <w:sz w:val="22"/>
                <w:szCs w:val="20"/>
              </w:rPr>
            </w:pPr>
            <w:r w:rsidRPr="00CF7612">
              <w:rPr>
                <w:rFonts w:cs="Arial"/>
                <w:sz w:val="22"/>
                <w:szCs w:val="20"/>
              </w:rPr>
              <w:t>Centrifuges</w:t>
            </w:r>
          </w:p>
        </w:tc>
        <w:tc>
          <w:tcPr>
            <w:tcW w:w="6662" w:type="dxa"/>
          </w:tcPr>
          <w:p w14:paraId="00D41D9A" w14:textId="25CB49FC" w:rsidR="008323E1" w:rsidRPr="00CF7612" w:rsidRDefault="00C471F2" w:rsidP="007D7B7C">
            <w:pPr>
              <w:tabs>
                <w:tab w:val="left" w:pos="975"/>
              </w:tabs>
              <w:rPr>
                <w:rFonts w:cs="Arial"/>
                <w:sz w:val="22"/>
                <w:szCs w:val="20"/>
              </w:rPr>
            </w:pPr>
            <w:r w:rsidRPr="00CF7612">
              <w:rPr>
                <w:rFonts w:cs="Arial"/>
                <w:sz w:val="22"/>
                <w:szCs w:val="20"/>
              </w:rPr>
              <w:t>Floor-standing, bench top, micro</w:t>
            </w:r>
          </w:p>
        </w:tc>
      </w:tr>
      <w:tr w:rsidR="008323E1" w14:paraId="620EF76D" w14:textId="77777777" w:rsidTr="00C16FA0">
        <w:tc>
          <w:tcPr>
            <w:tcW w:w="2972" w:type="dxa"/>
          </w:tcPr>
          <w:p w14:paraId="5AA776D1" w14:textId="465F7419" w:rsidR="008323E1" w:rsidRPr="00CF7612" w:rsidRDefault="00C471F2" w:rsidP="007D7B7C">
            <w:pPr>
              <w:tabs>
                <w:tab w:val="left" w:pos="975"/>
              </w:tabs>
              <w:rPr>
                <w:rFonts w:cs="Arial"/>
                <w:sz w:val="22"/>
                <w:szCs w:val="20"/>
              </w:rPr>
            </w:pPr>
            <w:r w:rsidRPr="00CF7612">
              <w:rPr>
                <w:rFonts w:cs="Arial"/>
                <w:sz w:val="22"/>
                <w:szCs w:val="20"/>
              </w:rPr>
              <w:t>Clinical Lab</w:t>
            </w:r>
          </w:p>
        </w:tc>
        <w:tc>
          <w:tcPr>
            <w:tcW w:w="6662" w:type="dxa"/>
          </w:tcPr>
          <w:p w14:paraId="658608DD" w14:textId="0CA1D6AC" w:rsidR="008323E1" w:rsidRPr="00CF7612" w:rsidRDefault="00C471F2" w:rsidP="007D7B7C">
            <w:pPr>
              <w:tabs>
                <w:tab w:val="left" w:pos="975"/>
              </w:tabs>
              <w:rPr>
                <w:rFonts w:cs="Arial"/>
                <w:sz w:val="22"/>
                <w:szCs w:val="20"/>
              </w:rPr>
            </w:pPr>
            <w:r w:rsidRPr="00CF7612">
              <w:rPr>
                <w:rFonts w:cs="Arial"/>
                <w:sz w:val="22"/>
                <w:szCs w:val="20"/>
              </w:rPr>
              <w:t>Cell counters</w:t>
            </w:r>
          </w:p>
        </w:tc>
      </w:tr>
      <w:tr w:rsidR="008323E1" w14:paraId="1BA60B4A" w14:textId="77777777" w:rsidTr="00C16FA0">
        <w:tc>
          <w:tcPr>
            <w:tcW w:w="2972" w:type="dxa"/>
          </w:tcPr>
          <w:p w14:paraId="7336F513" w14:textId="133B4D85" w:rsidR="008323E1" w:rsidRPr="00CF7612" w:rsidRDefault="00C471F2" w:rsidP="007D7B7C">
            <w:pPr>
              <w:tabs>
                <w:tab w:val="left" w:pos="975"/>
              </w:tabs>
              <w:rPr>
                <w:rFonts w:cs="Arial"/>
                <w:sz w:val="22"/>
                <w:szCs w:val="20"/>
              </w:rPr>
            </w:pPr>
            <w:r w:rsidRPr="00CF7612">
              <w:rPr>
                <w:rFonts w:cs="Arial"/>
                <w:sz w:val="22"/>
                <w:szCs w:val="20"/>
              </w:rPr>
              <w:t>General Lab</w:t>
            </w:r>
          </w:p>
        </w:tc>
        <w:tc>
          <w:tcPr>
            <w:tcW w:w="6662" w:type="dxa"/>
          </w:tcPr>
          <w:p w14:paraId="1E64C9FF" w14:textId="291CACDB" w:rsidR="008323E1" w:rsidRPr="00CF7612" w:rsidRDefault="00C471F2" w:rsidP="007D7B7C">
            <w:pPr>
              <w:tabs>
                <w:tab w:val="left" w:pos="975"/>
              </w:tabs>
              <w:rPr>
                <w:rFonts w:cs="Arial"/>
                <w:sz w:val="22"/>
                <w:szCs w:val="20"/>
              </w:rPr>
            </w:pPr>
            <w:r w:rsidRPr="00CF7612">
              <w:rPr>
                <w:rFonts w:cs="Arial"/>
                <w:sz w:val="22"/>
                <w:szCs w:val="20"/>
              </w:rPr>
              <w:t>Balances, stirrers, heating mantles, water baths, ice makers</w:t>
            </w:r>
          </w:p>
        </w:tc>
      </w:tr>
      <w:tr w:rsidR="008323E1" w14:paraId="4C365B68" w14:textId="77777777" w:rsidTr="00C16FA0">
        <w:tc>
          <w:tcPr>
            <w:tcW w:w="2972" w:type="dxa"/>
          </w:tcPr>
          <w:p w14:paraId="4C0BCC94" w14:textId="1FBF1CE7" w:rsidR="008323E1" w:rsidRPr="00CF7612" w:rsidRDefault="00C471F2" w:rsidP="007D7B7C">
            <w:pPr>
              <w:tabs>
                <w:tab w:val="left" w:pos="975"/>
              </w:tabs>
              <w:rPr>
                <w:rFonts w:cs="Arial"/>
                <w:sz w:val="22"/>
                <w:szCs w:val="20"/>
              </w:rPr>
            </w:pPr>
            <w:r w:rsidRPr="00CF7612">
              <w:rPr>
                <w:rFonts w:cs="Arial"/>
                <w:sz w:val="22"/>
                <w:szCs w:val="20"/>
              </w:rPr>
              <w:t>Histology</w:t>
            </w:r>
          </w:p>
        </w:tc>
        <w:tc>
          <w:tcPr>
            <w:tcW w:w="6662" w:type="dxa"/>
          </w:tcPr>
          <w:p w14:paraId="7BB43A88" w14:textId="54590422" w:rsidR="008323E1" w:rsidRPr="00CF7612" w:rsidRDefault="00C471F2" w:rsidP="007D7B7C">
            <w:pPr>
              <w:tabs>
                <w:tab w:val="left" w:pos="975"/>
              </w:tabs>
              <w:rPr>
                <w:rFonts w:cs="Arial"/>
                <w:sz w:val="22"/>
                <w:szCs w:val="20"/>
              </w:rPr>
            </w:pPr>
            <w:r w:rsidRPr="00CF7612">
              <w:rPr>
                <w:rFonts w:cs="Arial"/>
                <w:sz w:val="22"/>
                <w:szCs w:val="20"/>
              </w:rPr>
              <w:t>Cryostats, microtomes</w:t>
            </w:r>
          </w:p>
        </w:tc>
      </w:tr>
      <w:tr w:rsidR="008323E1" w14:paraId="4DDA2C27" w14:textId="77777777" w:rsidTr="00C16FA0">
        <w:tc>
          <w:tcPr>
            <w:tcW w:w="2972" w:type="dxa"/>
          </w:tcPr>
          <w:p w14:paraId="5C5D831D" w14:textId="162B6325" w:rsidR="008323E1" w:rsidRPr="00CF7612" w:rsidRDefault="00C471F2" w:rsidP="007D7B7C">
            <w:pPr>
              <w:tabs>
                <w:tab w:val="left" w:pos="975"/>
              </w:tabs>
              <w:rPr>
                <w:rFonts w:cs="Arial"/>
                <w:sz w:val="22"/>
                <w:szCs w:val="20"/>
              </w:rPr>
            </w:pPr>
            <w:r w:rsidRPr="00CF7612">
              <w:rPr>
                <w:rFonts w:cs="Arial"/>
                <w:sz w:val="22"/>
                <w:szCs w:val="20"/>
              </w:rPr>
              <w:t>Imaging</w:t>
            </w:r>
          </w:p>
        </w:tc>
        <w:tc>
          <w:tcPr>
            <w:tcW w:w="6662" w:type="dxa"/>
          </w:tcPr>
          <w:p w14:paraId="0A7BE3AD" w14:textId="010ACB0B" w:rsidR="008323E1" w:rsidRPr="00CF7612" w:rsidRDefault="00C471F2" w:rsidP="007D7B7C">
            <w:pPr>
              <w:tabs>
                <w:tab w:val="left" w:pos="975"/>
              </w:tabs>
              <w:rPr>
                <w:rFonts w:cs="Arial"/>
                <w:sz w:val="22"/>
                <w:szCs w:val="20"/>
              </w:rPr>
            </w:pPr>
            <w:r w:rsidRPr="00CF7612">
              <w:rPr>
                <w:rFonts w:cs="Arial"/>
                <w:sz w:val="22"/>
                <w:szCs w:val="20"/>
              </w:rPr>
              <w:t>CT, MRI, Ultrasound, X-Ray</w:t>
            </w:r>
          </w:p>
        </w:tc>
      </w:tr>
      <w:tr w:rsidR="008323E1" w14:paraId="6FF0A096" w14:textId="77777777" w:rsidTr="00C16FA0">
        <w:tc>
          <w:tcPr>
            <w:tcW w:w="2972" w:type="dxa"/>
          </w:tcPr>
          <w:p w14:paraId="45DCB8DF" w14:textId="5409B43E" w:rsidR="008323E1" w:rsidRPr="00CF7612" w:rsidRDefault="00C471F2" w:rsidP="007D7B7C">
            <w:pPr>
              <w:tabs>
                <w:tab w:val="left" w:pos="975"/>
              </w:tabs>
              <w:rPr>
                <w:rFonts w:cs="Arial"/>
                <w:sz w:val="22"/>
                <w:szCs w:val="20"/>
              </w:rPr>
            </w:pPr>
            <w:r w:rsidRPr="00CF7612">
              <w:rPr>
                <w:rFonts w:cs="Arial"/>
                <w:sz w:val="22"/>
                <w:szCs w:val="20"/>
              </w:rPr>
              <w:t>Materials Testing</w:t>
            </w:r>
          </w:p>
        </w:tc>
        <w:tc>
          <w:tcPr>
            <w:tcW w:w="6662" w:type="dxa"/>
          </w:tcPr>
          <w:p w14:paraId="3FAD21A6" w14:textId="6E2E6D5B" w:rsidR="008323E1" w:rsidRPr="00CF7612" w:rsidRDefault="00C471F2" w:rsidP="007D7B7C">
            <w:pPr>
              <w:tabs>
                <w:tab w:val="left" w:pos="975"/>
              </w:tabs>
              <w:rPr>
                <w:rFonts w:cs="Arial"/>
                <w:sz w:val="22"/>
                <w:szCs w:val="20"/>
              </w:rPr>
            </w:pPr>
            <w:r w:rsidRPr="00CF7612">
              <w:rPr>
                <w:rFonts w:cs="Arial"/>
                <w:sz w:val="22"/>
                <w:szCs w:val="20"/>
              </w:rPr>
              <w:t>Rheometer, hardness tester, tensile &amp; fatigue</w:t>
            </w:r>
          </w:p>
        </w:tc>
      </w:tr>
      <w:tr w:rsidR="008323E1" w14:paraId="63BD4A3C" w14:textId="77777777" w:rsidTr="00C16FA0">
        <w:tc>
          <w:tcPr>
            <w:tcW w:w="2972" w:type="dxa"/>
          </w:tcPr>
          <w:p w14:paraId="7D4D9F09" w14:textId="6BBB83CE" w:rsidR="008323E1" w:rsidRPr="00CF7612" w:rsidRDefault="00DD1F84" w:rsidP="007D7B7C">
            <w:pPr>
              <w:tabs>
                <w:tab w:val="left" w:pos="975"/>
              </w:tabs>
              <w:rPr>
                <w:rFonts w:cs="Arial"/>
                <w:sz w:val="22"/>
                <w:szCs w:val="20"/>
              </w:rPr>
            </w:pPr>
            <w:r w:rsidRPr="00CF7612">
              <w:rPr>
                <w:rFonts w:cs="Arial"/>
                <w:sz w:val="22"/>
                <w:szCs w:val="20"/>
              </w:rPr>
              <w:t>Medical &amp; Diagnostic</w:t>
            </w:r>
          </w:p>
        </w:tc>
        <w:tc>
          <w:tcPr>
            <w:tcW w:w="6662" w:type="dxa"/>
          </w:tcPr>
          <w:p w14:paraId="25DB28E9" w14:textId="7FEA28C5" w:rsidR="008323E1" w:rsidRPr="00CF7612" w:rsidRDefault="00DD1F84" w:rsidP="007D7B7C">
            <w:pPr>
              <w:tabs>
                <w:tab w:val="left" w:pos="975"/>
              </w:tabs>
              <w:rPr>
                <w:rFonts w:cs="Arial"/>
                <w:sz w:val="22"/>
                <w:szCs w:val="20"/>
              </w:rPr>
            </w:pPr>
            <w:r w:rsidRPr="00CF7612">
              <w:rPr>
                <w:rFonts w:cs="Arial"/>
                <w:sz w:val="22"/>
                <w:szCs w:val="20"/>
              </w:rPr>
              <w:t>Audiometers, surgical instruments</w:t>
            </w:r>
          </w:p>
        </w:tc>
      </w:tr>
      <w:tr w:rsidR="008323E1" w14:paraId="225C465F" w14:textId="77777777" w:rsidTr="00C16FA0">
        <w:tc>
          <w:tcPr>
            <w:tcW w:w="2972" w:type="dxa"/>
          </w:tcPr>
          <w:p w14:paraId="23E33404" w14:textId="2C303303" w:rsidR="008323E1" w:rsidRPr="00CF7612" w:rsidRDefault="00DD1F84" w:rsidP="007D7B7C">
            <w:pPr>
              <w:tabs>
                <w:tab w:val="left" w:pos="975"/>
              </w:tabs>
              <w:rPr>
                <w:rFonts w:cs="Arial"/>
                <w:sz w:val="22"/>
                <w:szCs w:val="20"/>
              </w:rPr>
            </w:pPr>
            <w:r w:rsidRPr="00CF7612">
              <w:rPr>
                <w:rFonts w:cs="Arial"/>
                <w:sz w:val="22"/>
                <w:szCs w:val="20"/>
              </w:rPr>
              <w:t>Microscopes</w:t>
            </w:r>
          </w:p>
        </w:tc>
        <w:tc>
          <w:tcPr>
            <w:tcW w:w="6662" w:type="dxa"/>
          </w:tcPr>
          <w:p w14:paraId="5E4F46CE" w14:textId="6A7F3F02" w:rsidR="008323E1" w:rsidRPr="00CF7612" w:rsidRDefault="00300697" w:rsidP="007D7B7C">
            <w:pPr>
              <w:tabs>
                <w:tab w:val="left" w:pos="975"/>
              </w:tabs>
              <w:rPr>
                <w:rFonts w:cs="Arial"/>
                <w:sz w:val="22"/>
                <w:szCs w:val="20"/>
              </w:rPr>
            </w:pPr>
            <w:r w:rsidRPr="00CF7612">
              <w:rPr>
                <w:rFonts w:cs="Arial"/>
                <w:sz w:val="22"/>
                <w:szCs w:val="20"/>
              </w:rPr>
              <w:t>Inverted, fluorescence, electron, compound, stereo</w:t>
            </w:r>
          </w:p>
        </w:tc>
      </w:tr>
      <w:tr w:rsidR="008323E1" w14:paraId="6FE0AABF" w14:textId="77777777" w:rsidTr="00C16FA0">
        <w:tc>
          <w:tcPr>
            <w:tcW w:w="2972" w:type="dxa"/>
          </w:tcPr>
          <w:p w14:paraId="490475D0" w14:textId="167EB465" w:rsidR="008323E1" w:rsidRPr="00CF7612" w:rsidRDefault="00300697" w:rsidP="007D7B7C">
            <w:pPr>
              <w:tabs>
                <w:tab w:val="left" w:pos="975"/>
              </w:tabs>
              <w:rPr>
                <w:rFonts w:cs="Arial"/>
                <w:sz w:val="22"/>
                <w:szCs w:val="20"/>
              </w:rPr>
            </w:pPr>
            <w:r w:rsidRPr="00CF7612">
              <w:rPr>
                <w:rFonts w:cs="Arial"/>
                <w:sz w:val="22"/>
                <w:szCs w:val="20"/>
              </w:rPr>
              <w:t>Pharmaceutical</w:t>
            </w:r>
          </w:p>
        </w:tc>
        <w:tc>
          <w:tcPr>
            <w:tcW w:w="6662" w:type="dxa"/>
          </w:tcPr>
          <w:p w14:paraId="4B289B75" w14:textId="08F02A58" w:rsidR="008323E1" w:rsidRPr="00CF7612" w:rsidRDefault="00CE129A" w:rsidP="007D7B7C">
            <w:pPr>
              <w:tabs>
                <w:tab w:val="left" w:pos="975"/>
              </w:tabs>
              <w:rPr>
                <w:rFonts w:cs="Arial"/>
                <w:sz w:val="22"/>
                <w:szCs w:val="20"/>
              </w:rPr>
            </w:pPr>
            <w:r w:rsidRPr="00CF7612">
              <w:rPr>
                <w:rFonts w:cs="Arial"/>
                <w:sz w:val="22"/>
                <w:szCs w:val="20"/>
              </w:rPr>
              <w:t>Capsule fillers, tablet presses</w:t>
            </w:r>
          </w:p>
        </w:tc>
      </w:tr>
      <w:tr w:rsidR="008323E1" w14:paraId="396FA038" w14:textId="77777777" w:rsidTr="00C16FA0">
        <w:tc>
          <w:tcPr>
            <w:tcW w:w="2972" w:type="dxa"/>
          </w:tcPr>
          <w:p w14:paraId="19035A06" w14:textId="1D616D0C" w:rsidR="008323E1" w:rsidRPr="00CF7612" w:rsidRDefault="00CE129A" w:rsidP="007D7B7C">
            <w:pPr>
              <w:tabs>
                <w:tab w:val="left" w:pos="975"/>
              </w:tabs>
              <w:rPr>
                <w:rFonts w:cs="Arial"/>
                <w:sz w:val="22"/>
                <w:szCs w:val="20"/>
              </w:rPr>
            </w:pPr>
            <w:r w:rsidRPr="00CF7612">
              <w:rPr>
                <w:rFonts w:cs="Arial"/>
                <w:sz w:val="22"/>
                <w:szCs w:val="20"/>
              </w:rPr>
              <w:t>Process</w:t>
            </w:r>
          </w:p>
        </w:tc>
        <w:tc>
          <w:tcPr>
            <w:tcW w:w="6662" w:type="dxa"/>
          </w:tcPr>
          <w:p w14:paraId="30A15CBE" w14:textId="099210C4" w:rsidR="008323E1" w:rsidRPr="00CF7612" w:rsidRDefault="00CE129A" w:rsidP="007D7B7C">
            <w:pPr>
              <w:tabs>
                <w:tab w:val="left" w:pos="975"/>
              </w:tabs>
              <w:rPr>
                <w:rFonts w:cs="Arial"/>
                <w:sz w:val="22"/>
                <w:szCs w:val="20"/>
              </w:rPr>
            </w:pPr>
            <w:r w:rsidRPr="00CF7612">
              <w:rPr>
                <w:rFonts w:cs="Arial"/>
                <w:sz w:val="22"/>
                <w:szCs w:val="20"/>
              </w:rPr>
              <w:t>Mixers, mills, pumps</w:t>
            </w:r>
          </w:p>
        </w:tc>
      </w:tr>
      <w:tr w:rsidR="008323E1" w14:paraId="29B37AFD" w14:textId="77777777" w:rsidTr="00C16FA0">
        <w:tc>
          <w:tcPr>
            <w:tcW w:w="2972" w:type="dxa"/>
          </w:tcPr>
          <w:p w14:paraId="0A624ADB" w14:textId="527A05E8" w:rsidR="008323E1" w:rsidRPr="00CF7612" w:rsidRDefault="00CE129A" w:rsidP="007D7B7C">
            <w:pPr>
              <w:tabs>
                <w:tab w:val="left" w:pos="975"/>
              </w:tabs>
              <w:rPr>
                <w:rFonts w:cs="Arial"/>
                <w:sz w:val="22"/>
                <w:szCs w:val="20"/>
              </w:rPr>
            </w:pPr>
            <w:r w:rsidRPr="00CF7612">
              <w:rPr>
                <w:rFonts w:cs="Arial"/>
                <w:sz w:val="22"/>
                <w:szCs w:val="20"/>
              </w:rPr>
              <w:t>Test &amp; Measurement</w:t>
            </w:r>
          </w:p>
        </w:tc>
        <w:tc>
          <w:tcPr>
            <w:tcW w:w="6662" w:type="dxa"/>
          </w:tcPr>
          <w:p w14:paraId="77DE641C" w14:textId="1205B01D" w:rsidR="008323E1" w:rsidRPr="00CF7612" w:rsidRDefault="00CE129A" w:rsidP="007D7B7C">
            <w:pPr>
              <w:tabs>
                <w:tab w:val="left" w:pos="975"/>
              </w:tabs>
              <w:rPr>
                <w:rFonts w:cs="Arial"/>
                <w:sz w:val="22"/>
                <w:szCs w:val="20"/>
              </w:rPr>
            </w:pPr>
            <w:r w:rsidRPr="00CF7612">
              <w:rPr>
                <w:rFonts w:cs="Arial"/>
                <w:sz w:val="22"/>
                <w:szCs w:val="20"/>
              </w:rPr>
              <w:t>Air flow, temperature, electronics</w:t>
            </w:r>
          </w:p>
        </w:tc>
      </w:tr>
      <w:tr w:rsidR="008323E1" w14:paraId="21C0A68C" w14:textId="77777777" w:rsidTr="00C16FA0">
        <w:tc>
          <w:tcPr>
            <w:tcW w:w="2972" w:type="dxa"/>
          </w:tcPr>
          <w:p w14:paraId="6581F647" w14:textId="110FB316" w:rsidR="008323E1" w:rsidRPr="00CF7612" w:rsidRDefault="00CE129A" w:rsidP="007D7B7C">
            <w:pPr>
              <w:tabs>
                <w:tab w:val="left" w:pos="975"/>
              </w:tabs>
              <w:rPr>
                <w:rFonts w:cs="Arial"/>
                <w:sz w:val="22"/>
                <w:szCs w:val="20"/>
              </w:rPr>
            </w:pPr>
            <w:r w:rsidRPr="00CF7612">
              <w:rPr>
                <w:rFonts w:cs="Arial"/>
                <w:sz w:val="22"/>
                <w:szCs w:val="20"/>
              </w:rPr>
              <w:t>Vacuum Equipment</w:t>
            </w:r>
          </w:p>
        </w:tc>
        <w:tc>
          <w:tcPr>
            <w:tcW w:w="6662" w:type="dxa"/>
          </w:tcPr>
          <w:p w14:paraId="45D1EEBD" w14:textId="4E240F16" w:rsidR="008323E1" w:rsidRPr="00CF7612" w:rsidRDefault="00CE129A" w:rsidP="007D7B7C">
            <w:pPr>
              <w:tabs>
                <w:tab w:val="left" w:pos="975"/>
              </w:tabs>
              <w:rPr>
                <w:rFonts w:cs="Arial"/>
                <w:sz w:val="22"/>
                <w:szCs w:val="20"/>
              </w:rPr>
            </w:pPr>
            <w:r w:rsidRPr="00CF7612">
              <w:rPr>
                <w:rFonts w:cs="Arial"/>
                <w:sz w:val="22"/>
                <w:szCs w:val="20"/>
              </w:rPr>
              <w:t>Pumps, chambers, gauges</w:t>
            </w:r>
          </w:p>
        </w:tc>
      </w:tr>
      <w:tr w:rsidR="00B80303" w14:paraId="3C13DCAC" w14:textId="77777777" w:rsidTr="00C16FA0">
        <w:tc>
          <w:tcPr>
            <w:tcW w:w="9634" w:type="dxa"/>
            <w:gridSpan w:val="2"/>
            <w:shd w:val="clear" w:color="auto" w:fill="FFC000"/>
          </w:tcPr>
          <w:p w14:paraId="279FE4A9" w14:textId="5381D493" w:rsidR="00B80303" w:rsidRPr="00CF7612" w:rsidRDefault="00B80303" w:rsidP="007D7B7C">
            <w:pPr>
              <w:tabs>
                <w:tab w:val="left" w:pos="975"/>
              </w:tabs>
              <w:rPr>
                <w:rFonts w:cs="Arial"/>
                <w:b/>
                <w:bCs/>
                <w:sz w:val="22"/>
                <w:szCs w:val="20"/>
              </w:rPr>
            </w:pPr>
            <w:r w:rsidRPr="00CF7612">
              <w:rPr>
                <w:rFonts w:cs="Arial"/>
                <w:b/>
                <w:bCs/>
                <w:sz w:val="22"/>
                <w:szCs w:val="20"/>
              </w:rPr>
              <w:t>Case by Case</w:t>
            </w:r>
          </w:p>
        </w:tc>
      </w:tr>
      <w:tr w:rsidR="002A771A" w14:paraId="6CF43B41" w14:textId="77777777" w:rsidTr="00C16FA0">
        <w:tc>
          <w:tcPr>
            <w:tcW w:w="2972" w:type="dxa"/>
          </w:tcPr>
          <w:p w14:paraId="61058295" w14:textId="23A15A81" w:rsidR="002A771A" w:rsidRPr="00CF7612" w:rsidRDefault="00B80303" w:rsidP="007D7B7C">
            <w:pPr>
              <w:tabs>
                <w:tab w:val="left" w:pos="975"/>
              </w:tabs>
              <w:rPr>
                <w:rFonts w:cs="Arial"/>
                <w:sz w:val="22"/>
                <w:szCs w:val="20"/>
              </w:rPr>
            </w:pPr>
            <w:r w:rsidRPr="00CF7612">
              <w:rPr>
                <w:rFonts w:cs="Arial"/>
                <w:sz w:val="22"/>
                <w:szCs w:val="20"/>
              </w:rPr>
              <w:t>Faulty Equipment</w:t>
            </w:r>
          </w:p>
        </w:tc>
        <w:tc>
          <w:tcPr>
            <w:tcW w:w="6662" w:type="dxa"/>
          </w:tcPr>
          <w:p w14:paraId="2B6F6EA3" w14:textId="3B7B9BA9" w:rsidR="002A771A" w:rsidRPr="00CF7612" w:rsidRDefault="00B80303" w:rsidP="007D7B7C">
            <w:pPr>
              <w:tabs>
                <w:tab w:val="left" w:pos="975"/>
              </w:tabs>
              <w:rPr>
                <w:rFonts w:cs="Arial"/>
                <w:sz w:val="22"/>
                <w:szCs w:val="20"/>
              </w:rPr>
            </w:pPr>
            <w:r w:rsidRPr="00CF7612">
              <w:rPr>
                <w:rFonts w:cs="Arial"/>
                <w:sz w:val="22"/>
                <w:szCs w:val="20"/>
              </w:rPr>
              <w:t>May be suitable for resale</w:t>
            </w:r>
          </w:p>
        </w:tc>
      </w:tr>
      <w:tr w:rsidR="002A771A" w14:paraId="720D97D2" w14:textId="77777777" w:rsidTr="00C16FA0">
        <w:tc>
          <w:tcPr>
            <w:tcW w:w="2972" w:type="dxa"/>
          </w:tcPr>
          <w:p w14:paraId="709216DC" w14:textId="5D937EBB" w:rsidR="002A771A" w:rsidRPr="00CF7612" w:rsidRDefault="00CF7612" w:rsidP="007D7B7C">
            <w:pPr>
              <w:tabs>
                <w:tab w:val="left" w:pos="975"/>
              </w:tabs>
              <w:rPr>
                <w:rFonts w:cs="Arial"/>
                <w:sz w:val="22"/>
                <w:szCs w:val="20"/>
              </w:rPr>
            </w:pPr>
            <w:r w:rsidRPr="00CF7612">
              <w:rPr>
                <w:rFonts w:cs="Arial"/>
                <w:sz w:val="22"/>
                <w:szCs w:val="20"/>
              </w:rPr>
              <w:t>Refrigeration</w:t>
            </w:r>
          </w:p>
        </w:tc>
        <w:tc>
          <w:tcPr>
            <w:tcW w:w="6662" w:type="dxa"/>
          </w:tcPr>
          <w:p w14:paraId="2F83E5A4" w14:textId="45E792B0" w:rsidR="002A771A" w:rsidRPr="00CF7612" w:rsidRDefault="0023642A" w:rsidP="007D7B7C">
            <w:pPr>
              <w:tabs>
                <w:tab w:val="left" w:pos="975"/>
              </w:tabs>
              <w:rPr>
                <w:rFonts w:cs="Arial"/>
                <w:sz w:val="22"/>
                <w:szCs w:val="20"/>
              </w:rPr>
            </w:pPr>
            <w:r w:rsidRPr="00CF7612">
              <w:rPr>
                <w:rFonts w:cs="Arial"/>
                <w:sz w:val="22"/>
                <w:szCs w:val="20"/>
              </w:rPr>
              <w:t>Lab fridges/freezers in good working order</w:t>
            </w:r>
          </w:p>
        </w:tc>
      </w:tr>
      <w:tr w:rsidR="002A771A" w14:paraId="28301997" w14:textId="77777777" w:rsidTr="00C16FA0">
        <w:tc>
          <w:tcPr>
            <w:tcW w:w="2972" w:type="dxa"/>
          </w:tcPr>
          <w:p w14:paraId="0E864BED" w14:textId="3A43BD8D" w:rsidR="002A771A" w:rsidRPr="00CF7612" w:rsidRDefault="0023642A" w:rsidP="007D7B7C">
            <w:pPr>
              <w:tabs>
                <w:tab w:val="left" w:pos="975"/>
              </w:tabs>
              <w:rPr>
                <w:rFonts w:cs="Arial"/>
                <w:sz w:val="22"/>
                <w:szCs w:val="20"/>
              </w:rPr>
            </w:pPr>
            <w:r w:rsidRPr="00CF7612">
              <w:rPr>
                <w:rFonts w:cs="Arial"/>
                <w:sz w:val="22"/>
                <w:szCs w:val="20"/>
              </w:rPr>
              <w:t>Biological Safety Cabinets</w:t>
            </w:r>
          </w:p>
        </w:tc>
        <w:tc>
          <w:tcPr>
            <w:tcW w:w="6662" w:type="dxa"/>
          </w:tcPr>
          <w:p w14:paraId="511B87A8" w14:textId="2BFDEB04" w:rsidR="002A771A" w:rsidRPr="00CF7612" w:rsidRDefault="0023642A" w:rsidP="007D7B7C">
            <w:pPr>
              <w:tabs>
                <w:tab w:val="left" w:pos="975"/>
              </w:tabs>
              <w:rPr>
                <w:rFonts w:cs="Arial"/>
                <w:sz w:val="22"/>
                <w:szCs w:val="20"/>
              </w:rPr>
            </w:pPr>
            <w:r w:rsidRPr="00CF7612">
              <w:rPr>
                <w:rFonts w:cs="Arial"/>
                <w:sz w:val="22"/>
                <w:szCs w:val="20"/>
              </w:rPr>
              <w:t>Class 1 or 2</w:t>
            </w:r>
          </w:p>
        </w:tc>
      </w:tr>
      <w:tr w:rsidR="002A771A" w14:paraId="2F9511D8" w14:textId="77777777" w:rsidTr="00C16FA0">
        <w:tc>
          <w:tcPr>
            <w:tcW w:w="2972" w:type="dxa"/>
          </w:tcPr>
          <w:p w14:paraId="58527C5D" w14:textId="1CDFF865" w:rsidR="002A771A" w:rsidRPr="00CF7612" w:rsidRDefault="0023642A" w:rsidP="007D7B7C">
            <w:pPr>
              <w:tabs>
                <w:tab w:val="left" w:pos="975"/>
              </w:tabs>
              <w:rPr>
                <w:rFonts w:cs="Arial"/>
                <w:sz w:val="22"/>
                <w:szCs w:val="20"/>
              </w:rPr>
            </w:pPr>
            <w:r w:rsidRPr="00CF7612">
              <w:rPr>
                <w:rFonts w:cs="Arial"/>
                <w:sz w:val="22"/>
                <w:szCs w:val="20"/>
              </w:rPr>
              <w:t>Lab/Medical Furniture</w:t>
            </w:r>
          </w:p>
        </w:tc>
        <w:tc>
          <w:tcPr>
            <w:tcW w:w="6662" w:type="dxa"/>
          </w:tcPr>
          <w:p w14:paraId="6F79D2B3" w14:textId="5233C467" w:rsidR="002A771A" w:rsidRPr="00CF7612" w:rsidRDefault="0023642A" w:rsidP="007D7B7C">
            <w:pPr>
              <w:tabs>
                <w:tab w:val="left" w:pos="975"/>
              </w:tabs>
              <w:rPr>
                <w:rFonts w:cs="Arial"/>
                <w:sz w:val="22"/>
                <w:szCs w:val="20"/>
              </w:rPr>
            </w:pPr>
            <w:r w:rsidRPr="00CF7612">
              <w:rPr>
                <w:rFonts w:cs="Arial"/>
                <w:sz w:val="22"/>
                <w:szCs w:val="20"/>
              </w:rPr>
              <w:t>Trespa tables, beds, lifts/hoists, CoSHH cabinets</w:t>
            </w:r>
          </w:p>
        </w:tc>
      </w:tr>
      <w:tr w:rsidR="0023642A" w14:paraId="6BA0E1A9" w14:textId="77777777" w:rsidTr="00C16FA0">
        <w:tc>
          <w:tcPr>
            <w:tcW w:w="2972" w:type="dxa"/>
          </w:tcPr>
          <w:p w14:paraId="307AEC1F" w14:textId="24B03E90" w:rsidR="0023642A" w:rsidRPr="00CF7612" w:rsidRDefault="00861F8F" w:rsidP="007D7B7C">
            <w:pPr>
              <w:tabs>
                <w:tab w:val="left" w:pos="975"/>
              </w:tabs>
              <w:rPr>
                <w:rFonts w:cs="Arial"/>
                <w:sz w:val="22"/>
                <w:szCs w:val="20"/>
              </w:rPr>
            </w:pPr>
            <w:r w:rsidRPr="00CF7612">
              <w:rPr>
                <w:rFonts w:cs="Arial"/>
                <w:sz w:val="22"/>
                <w:szCs w:val="20"/>
              </w:rPr>
              <w:t>Large Scale Heating</w:t>
            </w:r>
          </w:p>
        </w:tc>
        <w:tc>
          <w:tcPr>
            <w:tcW w:w="6662" w:type="dxa"/>
          </w:tcPr>
          <w:p w14:paraId="76C12B23" w14:textId="7896C4C5" w:rsidR="0023642A" w:rsidRPr="00CF7612" w:rsidRDefault="00861F8F" w:rsidP="007D7B7C">
            <w:pPr>
              <w:tabs>
                <w:tab w:val="left" w:pos="975"/>
              </w:tabs>
              <w:rPr>
                <w:rFonts w:cs="Arial"/>
                <w:sz w:val="22"/>
                <w:szCs w:val="20"/>
              </w:rPr>
            </w:pPr>
            <w:r w:rsidRPr="00CF7612">
              <w:rPr>
                <w:rFonts w:cs="Arial"/>
                <w:sz w:val="22"/>
                <w:szCs w:val="20"/>
              </w:rPr>
              <w:t>Kilns, autoclaves</w:t>
            </w:r>
          </w:p>
        </w:tc>
      </w:tr>
      <w:tr w:rsidR="0023642A" w14:paraId="1D931D18" w14:textId="77777777" w:rsidTr="00C16FA0">
        <w:tc>
          <w:tcPr>
            <w:tcW w:w="2972" w:type="dxa"/>
          </w:tcPr>
          <w:p w14:paraId="15FE0BA8" w14:textId="5E9C9DAB" w:rsidR="0023642A" w:rsidRPr="00CF7612" w:rsidRDefault="00861F8F" w:rsidP="007D7B7C">
            <w:pPr>
              <w:tabs>
                <w:tab w:val="left" w:pos="975"/>
              </w:tabs>
              <w:rPr>
                <w:rFonts w:cs="Arial"/>
                <w:sz w:val="22"/>
                <w:szCs w:val="20"/>
              </w:rPr>
            </w:pPr>
            <w:r w:rsidRPr="00CF7612">
              <w:rPr>
                <w:rFonts w:cs="Arial"/>
                <w:sz w:val="22"/>
                <w:szCs w:val="20"/>
              </w:rPr>
              <w:t>Consumables</w:t>
            </w:r>
          </w:p>
        </w:tc>
        <w:tc>
          <w:tcPr>
            <w:tcW w:w="6662" w:type="dxa"/>
          </w:tcPr>
          <w:p w14:paraId="4E11D7DD" w14:textId="1EE7A844" w:rsidR="0023642A" w:rsidRPr="00CF7612" w:rsidRDefault="00861F8F" w:rsidP="007D7B7C">
            <w:pPr>
              <w:tabs>
                <w:tab w:val="left" w:pos="975"/>
              </w:tabs>
              <w:rPr>
                <w:rFonts w:cs="Arial"/>
                <w:sz w:val="22"/>
                <w:szCs w:val="20"/>
              </w:rPr>
            </w:pPr>
            <w:r w:rsidRPr="00CF7612">
              <w:rPr>
                <w:rFonts w:cs="Arial"/>
                <w:sz w:val="22"/>
                <w:szCs w:val="20"/>
              </w:rPr>
              <w:t>Tubes, pipette tips etc.</w:t>
            </w:r>
          </w:p>
        </w:tc>
      </w:tr>
      <w:tr w:rsidR="00861F8F" w14:paraId="4B034631" w14:textId="77777777" w:rsidTr="00C16FA0">
        <w:tc>
          <w:tcPr>
            <w:tcW w:w="9634" w:type="dxa"/>
            <w:gridSpan w:val="2"/>
            <w:shd w:val="clear" w:color="auto" w:fill="EE0000"/>
          </w:tcPr>
          <w:p w14:paraId="52E23475" w14:textId="2EA7A032" w:rsidR="00861F8F" w:rsidRPr="00CF7612" w:rsidRDefault="00861F8F" w:rsidP="007D7B7C">
            <w:pPr>
              <w:tabs>
                <w:tab w:val="left" w:pos="975"/>
              </w:tabs>
              <w:rPr>
                <w:rFonts w:cs="Arial"/>
                <w:b/>
                <w:bCs/>
                <w:sz w:val="22"/>
                <w:szCs w:val="20"/>
              </w:rPr>
            </w:pPr>
            <w:r w:rsidRPr="00CF7612">
              <w:rPr>
                <w:rFonts w:cs="Arial"/>
                <w:b/>
                <w:bCs/>
                <w:sz w:val="22"/>
                <w:szCs w:val="20"/>
              </w:rPr>
              <w:t>Rarely Collect</w:t>
            </w:r>
          </w:p>
        </w:tc>
      </w:tr>
      <w:tr w:rsidR="0023642A" w14:paraId="7021BAE9" w14:textId="77777777" w:rsidTr="00C16FA0">
        <w:tc>
          <w:tcPr>
            <w:tcW w:w="2972" w:type="dxa"/>
          </w:tcPr>
          <w:p w14:paraId="57A8AFE6" w14:textId="3A742E79" w:rsidR="0023642A" w:rsidRPr="00CF7612" w:rsidRDefault="00861F8F" w:rsidP="007D7B7C">
            <w:pPr>
              <w:tabs>
                <w:tab w:val="left" w:pos="975"/>
              </w:tabs>
              <w:rPr>
                <w:rFonts w:cs="Arial"/>
                <w:sz w:val="22"/>
                <w:szCs w:val="20"/>
              </w:rPr>
            </w:pPr>
            <w:r w:rsidRPr="00CF7612">
              <w:rPr>
                <w:rFonts w:cs="Arial"/>
                <w:sz w:val="22"/>
                <w:szCs w:val="20"/>
              </w:rPr>
              <w:t>Lab Glassware &amp; Supplies</w:t>
            </w:r>
          </w:p>
        </w:tc>
        <w:tc>
          <w:tcPr>
            <w:tcW w:w="6662" w:type="dxa"/>
          </w:tcPr>
          <w:p w14:paraId="7D70EC2F" w14:textId="64FCE6F1" w:rsidR="0023642A" w:rsidRPr="00CF7612" w:rsidRDefault="00861F8F" w:rsidP="007D7B7C">
            <w:pPr>
              <w:tabs>
                <w:tab w:val="left" w:pos="975"/>
              </w:tabs>
              <w:rPr>
                <w:rFonts w:cs="Arial"/>
                <w:sz w:val="22"/>
                <w:szCs w:val="20"/>
              </w:rPr>
            </w:pPr>
            <w:r w:rsidRPr="00CF7612">
              <w:rPr>
                <w:rFonts w:cs="Arial"/>
                <w:sz w:val="22"/>
                <w:szCs w:val="20"/>
              </w:rPr>
              <w:t>Beakers, flasks, test tubes etc.</w:t>
            </w:r>
          </w:p>
        </w:tc>
      </w:tr>
    </w:tbl>
    <w:p w14:paraId="7773E957" w14:textId="77777777" w:rsidR="00742C8F" w:rsidRDefault="00742C8F" w:rsidP="007D7B7C">
      <w:pPr>
        <w:tabs>
          <w:tab w:val="left" w:pos="975"/>
        </w:tabs>
        <w:rPr>
          <w:rFonts w:cs="Arial"/>
          <w:sz w:val="20"/>
          <w:szCs w:val="18"/>
        </w:rPr>
      </w:pPr>
    </w:p>
    <w:p w14:paraId="30D7A83F" w14:textId="0073D9B7" w:rsidR="00CF7612" w:rsidRPr="000D0D51" w:rsidRDefault="00CF7612" w:rsidP="007D7B7C">
      <w:pPr>
        <w:tabs>
          <w:tab w:val="left" w:pos="975"/>
        </w:tabs>
        <w:rPr>
          <w:rFonts w:cs="Arial"/>
          <w:sz w:val="20"/>
          <w:szCs w:val="18"/>
        </w:rPr>
      </w:pPr>
      <w:r w:rsidRPr="000D0D51">
        <w:rPr>
          <w:rFonts w:cs="Arial"/>
          <w:sz w:val="20"/>
          <w:szCs w:val="18"/>
        </w:rPr>
        <w:t>It can be difficult to determine if an item is suitable for resale. Some equipment expected to generate a great return may be worth very little, whereas other items perceived to be worthless such as faulty equipment or bench-top items can often have a great resale value.</w:t>
      </w:r>
    </w:p>
    <w:p w14:paraId="5DD76A29" w14:textId="64B3CFBE" w:rsidR="00D74770" w:rsidRPr="000D0D51" w:rsidRDefault="00D87228" w:rsidP="007D7B7C">
      <w:pPr>
        <w:tabs>
          <w:tab w:val="left" w:pos="975"/>
        </w:tabs>
        <w:rPr>
          <w:rFonts w:cs="Arial"/>
          <w:sz w:val="20"/>
          <w:szCs w:val="18"/>
        </w:rPr>
      </w:pPr>
      <w:r>
        <w:rPr>
          <w:rFonts w:cs="Arial"/>
          <w:sz w:val="20"/>
          <w:szCs w:val="18"/>
        </w:rPr>
        <w:t>UniGreenScheme</w:t>
      </w:r>
      <w:r w:rsidR="00D74770" w:rsidRPr="000D0D51">
        <w:rPr>
          <w:rFonts w:cs="Arial"/>
          <w:sz w:val="20"/>
          <w:szCs w:val="18"/>
        </w:rPr>
        <w:t xml:space="preserve"> </w:t>
      </w:r>
      <w:r w:rsidR="00291DE5" w:rsidRPr="000D0D51">
        <w:rPr>
          <w:rFonts w:cs="Arial"/>
          <w:sz w:val="20"/>
          <w:szCs w:val="18"/>
        </w:rPr>
        <w:t>will</w:t>
      </w:r>
      <w:r w:rsidR="00D74770" w:rsidRPr="000D0D51">
        <w:rPr>
          <w:rFonts w:cs="Arial"/>
          <w:sz w:val="20"/>
          <w:szCs w:val="18"/>
        </w:rPr>
        <w:t xml:space="preserve"> help to identify suitable items for resale to ensure you get the return you want or expect.</w:t>
      </w:r>
    </w:p>
    <w:p w14:paraId="0568D3BB" w14:textId="48024D1E" w:rsidR="00CF7612" w:rsidRPr="000D0D51" w:rsidRDefault="00CF7612" w:rsidP="007D7B7C">
      <w:pPr>
        <w:tabs>
          <w:tab w:val="left" w:pos="975"/>
        </w:tabs>
        <w:rPr>
          <w:rFonts w:cs="Arial"/>
          <w:sz w:val="20"/>
          <w:szCs w:val="18"/>
        </w:rPr>
      </w:pPr>
      <w:r w:rsidRPr="000D0D51">
        <w:rPr>
          <w:rFonts w:cs="Arial"/>
          <w:sz w:val="20"/>
          <w:szCs w:val="18"/>
        </w:rPr>
        <w:t xml:space="preserve">Some items will not give a return on a financial basis, but these items are worth using </w:t>
      </w:r>
      <w:r w:rsidR="00720542" w:rsidRPr="000D0D51">
        <w:rPr>
          <w:rFonts w:cs="Arial"/>
          <w:sz w:val="20"/>
          <w:szCs w:val="18"/>
        </w:rPr>
        <w:t>the</w:t>
      </w:r>
      <w:r w:rsidRPr="000D0D51">
        <w:rPr>
          <w:rFonts w:cs="Arial"/>
          <w:sz w:val="20"/>
          <w:szCs w:val="18"/>
        </w:rPr>
        <w:t xml:space="preserve"> service as they prevent waste</w:t>
      </w:r>
      <w:r w:rsidR="00C16FA0">
        <w:rPr>
          <w:rFonts w:cs="Arial"/>
          <w:sz w:val="20"/>
          <w:szCs w:val="18"/>
        </w:rPr>
        <w:t>, save space</w:t>
      </w:r>
      <w:r w:rsidRPr="000D0D51">
        <w:rPr>
          <w:rFonts w:cs="Arial"/>
          <w:sz w:val="20"/>
          <w:szCs w:val="18"/>
        </w:rPr>
        <w:t xml:space="preserve"> and the environmental returns benefit us all.</w:t>
      </w:r>
    </w:p>
    <w:p w14:paraId="0CAED71A" w14:textId="68C69813" w:rsidR="00742C8F" w:rsidRPr="00C16FA0" w:rsidRDefault="009A2365" w:rsidP="007D7B7C">
      <w:pPr>
        <w:tabs>
          <w:tab w:val="left" w:pos="975"/>
        </w:tabs>
        <w:rPr>
          <w:rFonts w:cs="Arial"/>
          <w:b/>
          <w:bCs/>
          <w:sz w:val="22"/>
          <w:szCs w:val="20"/>
        </w:rPr>
      </w:pPr>
      <w:r w:rsidRPr="00742C8F">
        <w:rPr>
          <w:rFonts w:cs="Arial"/>
          <w:b/>
          <w:bCs/>
          <w:sz w:val="22"/>
          <w:szCs w:val="20"/>
        </w:rPr>
        <w:t xml:space="preserve">The above list is not exhaustive, for any items not listed, please contact </w:t>
      </w:r>
      <w:hyperlink r:id="rId15" w:history="1">
        <w:r w:rsidRPr="00742C8F">
          <w:rPr>
            <w:rStyle w:val="Hyperlink"/>
            <w:rFonts w:cs="Arial"/>
            <w:b/>
            <w:bCs/>
            <w:sz w:val="22"/>
            <w:szCs w:val="20"/>
          </w:rPr>
          <w:t>Estates-Waste@swansea.ac.uk</w:t>
        </w:r>
      </w:hyperlink>
      <w:r w:rsidRPr="00742C8F">
        <w:rPr>
          <w:rFonts w:cs="Arial"/>
          <w:b/>
          <w:bCs/>
          <w:sz w:val="22"/>
          <w:szCs w:val="20"/>
        </w:rPr>
        <w:t xml:space="preserve"> </w:t>
      </w:r>
      <w:r w:rsidR="00742C8F" w:rsidRPr="00742C8F">
        <w:rPr>
          <w:rFonts w:cs="Arial"/>
          <w:b/>
          <w:bCs/>
          <w:sz w:val="22"/>
          <w:szCs w:val="20"/>
        </w:rPr>
        <w:t>for further information.</w:t>
      </w:r>
    </w:p>
    <w:sectPr w:rsidR="00742C8F" w:rsidRPr="00C16FA0" w:rsidSect="00120EB1">
      <w:headerReference w:type="default" r:id="rId16"/>
      <w:footerReference w:type="default" r:id="rId17"/>
      <w:headerReference w:type="first" r:id="rId18"/>
      <w:pgSz w:w="11906" w:h="16838"/>
      <w:pgMar w:top="1440" w:right="1440" w:bottom="1440" w:left="1440" w:header="284" w:footer="4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7CA19" w14:textId="77777777" w:rsidR="00F047DF" w:rsidRDefault="00F047DF" w:rsidP="002C5652">
      <w:pPr>
        <w:spacing w:after="0" w:line="240" w:lineRule="auto"/>
      </w:pPr>
      <w:r>
        <w:separator/>
      </w:r>
    </w:p>
  </w:endnote>
  <w:endnote w:type="continuationSeparator" w:id="0">
    <w:p w14:paraId="37A566E9" w14:textId="77777777" w:rsidR="00F047DF" w:rsidRDefault="00F047DF" w:rsidP="002C5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83086" w14:textId="0BF894B3" w:rsidR="001A714E" w:rsidRDefault="000F4171" w:rsidP="009F46E6">
    <w:pPr>
      <w:pStyle w:val="Footer"/>
      <w:jc w:val="right"/>
      <w:rPr>
        <w:noProof/>
      </w:rPr>
    </w:pPr>
    <w:sdt>
      <w:sdtPr>
        <w:id w:val="1014492470"/>
        <w:docPartObj>
          <w:docPartGallery w:val="Page Numbers (Bottom of Page)"/>
          <w:docPartUnique/>
        </w:docPartObj>
      </w:sdtPr>
      <w:sdtEndPr>
        <w:rPr>
          <w:noProof/>
        </w:rPr>
      </w:sdtEndPr>
      <w:sdtContent>
        <w:r w:rsidR="009F46E6">
          <w:rPr>
            <w:noProof/>
          </w:rPr>
          <w:t>Version 1.0</w:t>
        </w:r>
        <w:r w:rsidR="009F46E6">
          <w:rPr>
            <w:noProof/>
          </w:rPr>
          <w:tab/>
          <w:t>Uncontrolled if printed</w:t>
        </w:r>
      </w:sdtContent>
    </w:sdt>
    <w:r w:rsidR="009F46E6">
      <w:rPr>
        <w:noProof/>
      </w:rPr>
      <w:tab/>
    </w:r>
    <w:r w:rsidR="009F46E6">
      <w:fldChar w:fldCharType="begin"/>
    </w:r>
    <w:r w:rsidR="009F46E6">
      <w:instrText xml:space="preserve"> PAGE   \* MERGEFORMAT </w:instrText>
    </w:r>
    <w:r w:rsidR="009F46E6">
      <w:fldChar w:fldCharType="separate"/>
    </w:r>
    <w:r w:rsidR="00120EB1">
      <w:rPr>
        <w:noProof/>
      </w:rPr>
      <w:t>2</w:t>
    </w:r>
    <w:r w:rsidR="009F46E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F28E8" w14:textId="77777777" w:rsidR="00F047DF" w:rsidRDefault="00F047DF" w:rsidP="002C5652">
      <w:pPr>
        <w:spacing w:after="0" w:line="240" w:lineRule="auto"/>
      </w:pPr>
      <w:r>
        <w:separator/>
      </w:r>
    </w:p>
  </w:footnote>
  <w:footnote w:type="continuationSeparator" w:id="0">
    <w:p w14:paraId="0AD2E298" w14:textId="77777777" w:rsidR="00F047DF" w:rsidRDefault="00F047DF" w:rsidP="002C5652">
      <w:pPr>
        <w:spacing w:after="0" w:line="240" w:lineRule="auto"/>
      </w:pPr>
      <w:r>
        <w:continuationSeparator/>
      </w:r>
    </w:p>
  </w:footnote>
  <w:footnote w:id="1">
    <w:p w14:paraId="4889AA2A" w14:textId="2070D6E1" w:rsidR="00C43D64" w:rsidRPr="00C43D64" w:rsidRDefault="00C43D64">
      <w:pPr>
        <w:pStyle w:val="FootnoteText"/>
        <w:rPr>
          <w:lang w:val="en-US"/>
        </w:rPr>
      </w:pPr>
      <w:r>
        <w:rPr>
          <w:rStyle w:val="FootnoteReference"/>
        </w:rPr>
        <w:footnoteRef/>
      </w:r>
      <w:r>
        <w:t xml:space="preserve"> </w:t>
      </w:r>
      <w:hyperlink r:id="rId1" w:history="1">
        <w:r w:rsidRPr="00151DB6">
          <w:rPr>
            <w:rStyle w:val="Hyperlink"/>
          </w:rPr>
          <w:t>https://www.unigreenscheme.co.uk/</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2EA92" w14:textId="7A13F734" w:rsidR="001A714E" w:rsidRPr="004D1DE9" w:rsidRDefault="004D1DE9" w:rsidP="004D1DE9">
    <w:pPr>
      <w:pStyle w:val="Header"/>
      <w:tabs>
        <w:tab w:val="clear" w:pos="9026"/>
      </w:tabs>
      <w:ind w:right="3923"/>
      <w:rPr>
        <w:rFonts w:cs="Arial"/>
        <w:b/>
      </w:rPr>
    </w:pPr>
    <w:r w:rsidRPr="00120EB1">
      <w:rPr>
        <w:rFonts w:cs="Arial"/>
        <w:b/>
        <w:noProof/>
        <w:lang w:eastAsia="en-GB"/>
      </w:rPr>
      <w:drawing>
        <wp:anchor distT="0" distB="0" distL="114300" distR="114300" simplePos="0" relativeHeight="251660288" behindDoc="1" locked="0" layoutInCell="1" allowOverlap="1" wp14:anchorId="74BF5D66" wp14:editId="6C6F04B1">
          <wp:simplePos x="0" y="0"/>
          <wp:positionH relativeFrom="margin">
            <wp:align>right</wp:align>
          </wp:positionH>
          <wp:positionV relativeFrom="paragraph">
            <wp:posOffset>3810</wp:posOffset>
          </wp:positionV>
          <wp:extent cx="2445385" cy="539750"/>
          <wp:effectExtent l="0" t="0" r="0" b="0"/>
          <wp:wrapTight wrapText="bothSides">
            <wp:wrapPolygon edited="0">
              <wp:start x="841" y="0"/>
              <wp:lineTo x="0" y="762"/>
              <wp:lineTo x="0" y="7624"/>
              <wp:lineTo x="673" y="12198"/>
              <wp:lineTo x="0" y="13722"/>
              <wp:lineTo x="0" y="17534"/>
              <wp:lineTo x="1346" y="20584"/>
              <wp:lineTo x="2019" y="20584"/>
              <wp:lineTo x="21370" y="19821"/>
              <wp:lineTo x="21370" y="3812"/>
              <wp:lineTo x="15817" y="762"/>
              <wp:lineTo x="2524" y="0"/>
              <wp:lineTo x="841" y="0"/>
            </wp:wrapPolygon>
          </wp:wrapTight>
          <wp:docPr id="1" name="Picture 1" descr="Swansea Univers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stainability_662 (4).png"/>
                  <pic:cNvPicPr/>
                </pic:nvPicPr>
                <pic:blipFill rotWithShape="1">
                  <a:blip r:embed="rId1" cstate="print">
                    <a:extLst>
                      <a:ext uri="{28A0092B-C50C-407E-A947-70E740481C1C}">
                        <a14:useLocalDpi xmlns:a14="http://schemas.microsoft.com/office/drawing/2010/main" val="0"/>
                      </a:ext>
                    </a:extLst>
                  </a:blip>
                  <a:srcRect l="6514" t="20454" r="9195" b="19886"/>
                  <a:stretch/>
                </pic:blipFill>
                <pic:spPr bwMode="auto">
                  <a:xfrm>
                    <a:off x="0" y="0"/>
                    <a:ext cx="2445385" cy="539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20EB1">
      <w:rPr>
        <w:rFonts w:cs="Arial"/>
        <w:b/>
      </w:rPr>
      <w:t xml:space="preserve">Environmental Management System – Documented Information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0679F" w14:textId="1D9D939D" w:rsidR="001A714E" w:rsidRPr="00120EB1" w:rsidRDefault="00C53076" w:rsidP="009F46E6">
    <w:pPr>
      <w:pStyle w:val="Header"/>
      <w:tabs>
        <w:tab w:val="clear" w:pos="9026"/>
      </w:tabs>
      <w:ind w:right="3923"/>
      <w:rPr>
        <w:rFonts w:cs="Arial"/>
        <w:b/>
      </w:rPr>
    </w:pPr>
    <w:r w:rsidRPr="00120EB1">
      <w:rPr>
        <w:rFonts w:cs="Arial"/>
        <w:b/>
        <w:noProof/>
        <w:lang w:eastAsia="en-GB"/>
      </w:rPr>
      <w:drawing>
        <wp:anchor distT="0" distB="0" distL="114300" distR="114300" simplePos="0" relativeHeight="251658240" behindDoc="1" locked="0" layoutInCell="1" allowOverlap="1" wp14:anchorId="778E01E2" wp14:editId="22319445">
          <wp:simplePos x="0" y="0"/>
          <wp:positionH relativeFrom="margin">
            <wp:align>right</wp:align>
          </wp:positionH>
          <wp:positionV relativeFrom="paragraph">
            <wp:posOffset>3810</wp:posOffset>
          </wp:positionV>
          <wp:extent cx="2445385" cy="539750"/>
          <wp:effectExtent l="0" t="0" r="0" b="0"/>
          <wp:wrapTight wrapText="bothSides">
            <wp:wrapPolygon edited="0">
              <wp:start x="841" y="0"/>
              <wp:lineTo x="0" y="762"/>
              <wp:lineTo x="0" y="7624"/>
              <wp:lineTo x="673" y="12198"/>
              <wp:lineTo x="0" y="13722"/>
              <wp:lineTo x="0" y="17534"/>
              <wp:lineTo x="1346" y="20584"/>
              <wp:lineTo x="2019" y="20584"/>
              <wp:lineTo x="21370" y="19821"/>
              <wp:lineTo x="21370" y="3812"/>
              <wp:lineTo x="15817" y="762"/>
              <wp:lineTo x="2524" y="0"/>
              <wp:lineTo x="841" y="0"/>
            </wp:wrapPolygon>
          </wp:wrapTight>
          <wp:docPr id="15" name="Picture 15" descr="Swansea Univers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stainability_662 (4).png"/>
                  <pic:cNvPicPr/>
                </pic:nvPicPr>
                <pic:blipFill rotWithShape="1">
                  <a:blip r:embed="rId1" cstate="print">
                    <a:extLst>
                      <a:ext uri="{28A0092B-C50C-407E-A947-70E740481C1C}">
                        <a14:useLocalDpi xmlns:a14="http://schemas.microsoft.com/office/drawing/2010/main" val="0"/>
                      </a:ext>
                    </a:extLst>
                  </a:blip>
                  <a:srcRect l="6514" t="20454" r="9195" b="19886"/>
                  <a:stretch/>
                </pic:blipFill>
                <pic:spPr bwMode="auto">
                  <a:xfrm>
                    <a:off x="0" y="0"/>
                    <a:ext cx="2445385" cy="539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20EB1">
      <w:rPr>
        <w:rFonts w:cs="Arial"/>
        <w:b/>
      </w:rPr>
      <w:t xml:space="preserve">Environmental Management System – Documented Information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44235"/>
    <w:multiLevelType w:val="hybridMultilevel"/>
    <w:tmpl w:val="6AF80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D2E88"/>
    <w:multiLevelType w:val="hybridMultilevel"/>
    <w:tmpl w:val="D4D809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E7AFB"/>
    <w:multiLevelType w:val="hybridMultilevel"/>
    <w:tmpl w:val="9A540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40AA4"/>
    <w:multiLevelType w:val="multilevel"/>
    <w:tmpl w:val="8E60916A"/>
    <w:lvl w:ilvl="0">
      <w:start w:val="1"/>
      <w:numFmt w:val="decimal"/>
      <w:pStyle w:val="Heading1"/>
      <w:lvlText w:val="%1"/>
      <w:lvlJc w:val="left"/>
      <w:pPr>
        <w:ind w:left="432" w:hanging="432"/>
      </w:pPr>
      <w:rPr>
        <w:color w:val="1F3864" w:themeColor="accent5" w:themeShade="8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5D85709"/>
    <w:multiLevelType w:val="hybridMultilevel"/>
    <w:tmpl w:val="75F2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0D574C"/>
    <w:multiLevelType w:val="hybridMultilevel"/>
    <w:tmpl w:val="6AA0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FC716D"/>
    <w:multiLevelType w:val="hybridMultilevel"/>
    <w:tmpl w:val="7556C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CA225A"/>
    <w:multiLevelType w:val="hybridMultilevel"/>
    <w:tmpl w:val="58923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717C4C"/>
    <w:multiLevelType w:val="multilevel"/>
    <w:tmpl w:val="A24A7B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BF6F32"/>
    <w:multiLevelType w:val="hybridMultilevel"/>
    <w:tmpl w:val="B3124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D40909"/>
    <w:multiLevelType w:val="hybridMultilevel"/>
    <w:tmpl w:val="9CD06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B040C8"/>
    <w:multiLevelType w:val="hybridMultilevel"/>
    <w:tmpl w:val="1194D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421A23"/>
    <w:multiLevelType w:val="multilevel"/>
    <w:tmpl w:val="BF4EA114"/>
    <w:lvl w:ilvl="0">
      <w:start w:val="1"/>
      <w:numFmt w:val="decimal"/>
      <w:lvlText w:val="%1.0"/>
      <w:lvlJc w:val="left"/>
      <w:pPr>
        <w:ind w:left="420" w:hanging="420"/>
      </w:pPr>
      <w:rPr>
        <w:rFonts w:hint="default"/>
        <w:sz w:val="28"/>
      </w:rPr>
    </w:lvl>
    <w:lvl w:ilvl="1">
      <w:start w:val="1"/>
      <w:numFmt w:val="decimal"/>
      <w:pStyle w:val="Heading2a"/>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705E0526"/>
    <w:multiLevelType w:val="hybridMultilevel"/>
    <w:tmpl w:val="82020F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A613047"/>
    <w:multiLevelType w:val="hybridMultilevel"/>
    <w:tmpl w:val="AE44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835939">
    <w:abstractNumId w:val="3"/>
  </w:num>
  <w:num w:numId="2" w16cid:durableId="1049766747">
    <w:abstractNumId w:val="9"/>
  </w:num>
  <w:num w:numId="3" w16cid:durableId="884679165">
    <w:abstractNumId w:val="12"/>
  </w:num>
  <w:num w:numId="4" w16cid:durableId="1516309927">
    <w:abstractNumId w:val="1"/>
  </w:num>
  <w:num w:numId="5" w16cid:durableId="1442799986">
    <w:abstractNumId w:val="13"/>
  </w:num>
  <w:num w:numId="6" w16cid:durableId="1095638506">
    <w:abstractNumId w:val="7"/>
  </w:num>
  <w:num w:numId="7" w16cid:durableId="381907649">
    <w:abstractNumId w:val="2"/>
  </w:num>
  <w:num w:numId="8" w16cid:durableId="1482966916">
    <w:abstractNumId w:val="6"/>
  </w:num>
  <w:num w:numId="9" w16cid:durableId="1144278392">
    <w:abstractNumId w:val="5"/>
  </w:num>
  <w:num w:numId="10" w16cid:durableId="2132744276">
    <w:abstractNumId w:val="0"/>
  </w:num>
  <w:num w:numId="11" w16cid:durableId="650135954">
    <w:abstractNumId w:val="4"/>
  </w:num>
  <w:num w:numId="12" w16cid:durableId="851534937">
    <w:abstractNumId w:val="14"/>
  </w:num>
  <w:num w:numId="13" w16cid:durableId="303316254">
    <w:abstractNumId w:val="8"/>
  </w:num>
  <w:num w:numId="14" w16cid:durableId="826477230">
    <w:abstractNumId w:val="11"/>
  </w:num>
  <w:num w:numId="15" w16cid:durableId="1373968320">
    <w:abstractNumId w:val="10"/>
  </w:num>
  <w:num w:numId="16" w16cid:durableId="1188106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459"/>
    <w:rsid w:val="000043C6"/>
    <w:rsid w:val="00005625"/>
    <w:rsid w:val="00027AB1"/>
    <w:rsid w:val="00031A3B"/>
    <w:rsid w:val="00033FD1"/>
    <w:rsid w:val="0004204A"/>
    <w:rsid w:val="000444FE"/>
    <w:rsid w:val="000579FA"/>
    <w:rsid w:val="00060617"/>
    <w:rsid w:val="00063459"/>
    <w:rsid w:val="0009130D"/>
    <w:rsid w:val="000919B7"/>
    <w:rsid w:val="0009639C"/>
    <w:rsid w:val="000965C6"/>
    <w:rsid w:val="000A36C3"/>
    <w:rsid w:val="000B57E4"/>
    <w:rsid w:val="000C58A7"/>
    <w:rsid w:val="000D0D51"/>
    <w:rsid w:val="000D24D1"/>
    <w:rsid w:val="000E3060"/>
    <w:rsid w:val="000F09B7"/>
    <w:rsid w:val="000F3774"/>
    <w:rsid w:val="000F4171"/>
    <w:rsid w:val="000F6AB0"/>
    <w:rsid w:val="00101500"/>
    <w:rsid w:val="00110490"/>
    <w:rsid w:val="00114643"/>
    <w:rsid w:val="00120EB1"/>
    <w:rsid w:val="001249B7"/>
    <w:rsid w:val="00147AEC"/>
    <w:rsid w:val="0015040F"/>
    <w:rsid w:val="001514C3"/>
    <w:rsid w:val="0015546F"/>
    <w:rsid w:val="00156F81"/>
    <w:rsid w:val="0015767E"/>
    <w:rsid w:val="00160BE7"/>
    <w:rsid w:val="00162185"/>
    <w:rsid w:val="00166B9A"/>
    <w:rsid w:val="001700E8"/>
    <w:rsid w:val="001823CC"/>
    <w:rsid w:val="001A2DFF"/>
    <w:rsid w:val="001A599A"/>
    <w:rsid w:val="001A714E"/>
    <w:rsid w:val="001B17F9"/>
    <w:rsid w:val="001D14BC"/>
    <w:rsid w:val="001D24AA"/>
    <w:rsid w:val="001E23D2"/>
    <w:rsid w:val="001E420E"/>
    <w:rsid w:val="001E6C02"/>
    <w:rsid w:val="001F7478"/>
    <w:rsid w:val="0020782B"/>
    <w:rsid w:val="00210A39"/>
    <w:rsid w:val="0023182A"/>
    <w:rsid w:val="002339C2"/>
    <w:rsid w:val="0023642A"/>
    <w:rsid w:val="00240113"/>
    <w:rsid w:val="00242CBC"/>
    <w:rsid w:val="00245FD2"/>
    <w:rsid w:val="00250097"/>
    <w:rsid w:val="00270CB5"/>
    <w:rsid w:val="00290010"/>
    <w:rsid w:val="00291DE5"/>
    <w:rsid w:val="00294B53"/>
    <w:rsid w:val="00295181"/>
    <w:rsid w:val="002A0A8E"/>
    <w:rsid w:val="002A771A"/>
    <w:rsid w:val="002B1F23"/>
    <w:rsid w:val="002B5BAE"/>
    <w:rsid w:val="002C5652"/>
    <w:rsid w:val="002D04B1"/>
    <w:rsid w:val="002D6918"/>
    <w:rsid w:val="002D7ABD"/>
    <w:rsid w:val="002E09CE"/>
    <w:rsid w:val="002E33CB"/>
    <w:rsid w:val="002E7F6C"/>
    <w:rsid w:val="002F5285"/>
    <w:rsid w:val="00300697"/>
    <w:rsid w:val="003034E0"/>
    <w:rsid w:val="00307944"/>
    <w:rsid w:val="00313F9B"/>
    <w:rsid w:val="0032788C"/>
    <w:rsid w:val="00333230"/>
    <w:rsid w:val="00344233"/>
    <w:rsid w:val="00355E2D"/>
    <w:rsid w:val="00357C5C"/>
    <w:rsid w:val="003607C0"/>
    <w:rsid w:val="003608F1"/>
    <w:rsid w:val="0036407E"/>
    <w:rsid w:val="00365A40"/>
    <w:rsid w:val="003771CC"/>
    <w:rsid w:val="003817ED"/>
    <w:rsid w:val="00392387"/>
    <w:rsid w:val="00394033"/>
    <w:rsid w:val="003A7CEB"/>
    <w:rsid w:val="003B06C7"/>
    <w:rsid w:val="003B2995"/>
    <w:rsid w:val="003C05A7"/>
    <w:rsid w:val="003D4AEF"/>
    <w:rsid w:val="003E55D2"/>
    <w:rsid w:val="003F248C"/>
    <w:rsid w:val="003F3CFB"/>
    <w:rsid w:val="003F7C44"/>
    <w:rsid w:val="004010D3"/>
    <w:rsid w:val="00404E46"/>
    <w:rsid w:val="0040774D"/>
    <w:rsid w:val="00410113"/>
    <w:rsid w:val="00412396"/>
    <w:rsid w:val="00434574"/>
    <w:rsid w:val="0044105B"/>
    <w:rsid w:val="004510C5"/>
    <w:rsid w:val="00470E73"/>
    <w:rsid w:val="00486BD3"/>
    <w:rsid w:val="0049683E"/>
    <w:rsid w:val="004A6529"/>
    <w:rsid w:val="004D1DE9"/>
    <w:rsid w:val="004D5425"/>
    <w:rsid w:val="004F7CDF"/>
    <w:rsid w:val="00506CE3"/>
    <w:rsid w:val="00520357"/>
    <w:rsid w:val="005257B3"/>
    <w:rsid w:val="0053124D"/>
    <w:rsid w:val="0053228E"/>
    <w:rsid w:val="005332A6"/>
    <w:rsid w:val="00534BDD"/>
    <w:rsid w:val="005378CA"/>
    <w:rsid w:val="005552A3"/>
    <w:rsid w:val="00561634"/>
    <w:rsid w:val="005617DC"/>
    <w:rsid w:val="00562B18"/>
    <w:rsid w:val="00562E98"/>
    <w:rsid w:val="005670D6"/>
    <w:rsid w:val="00583FB5"/>
    <w:rsid w:val="00593E6E"/>
    <w:rsid w:val="0059460C"/>
    <w:rsid w:val="005A4459"/>
    <w:rsid w:val="005A5062"/>
    <w:rsid w:val="005A6919"/>
    <w:rsid w:val="005A6D7E"/>
    <w:rsid w:val="005B7F94"/>
    <w:rsid w:val="005E1EE8"/>
    <w:rsid w:val="005E3377"/>
    <w:rsid w:val="005E5B73"/>
    <w:rsid w:val="00622E82"/>
    <w:rsid w:val="006233DD"/>
    <w:rsid w:val="00623465"/>
    <w:rsid w:val="006252E2"/>
    <w:rsid w:val="00631E78"/>
    <w:rsid w:val="006442E4"/>
    <w:rsid w:val="006449BF"/>
    <w:rsid w:val="00647059"/>
    <w:rsid w:val="00651E6C"/>
    <w:rsid w:val="00677850"/>
    <w:rsid w:val="0068176B"/>
    <w:rsid w:val="00697996"/>
    <w:rsid w:val="006B5A1E"/>
    <w:rsid w:val="006C0C09"/>
    <w:rsid w:val="006D0BDF"/>
    <w:rsid w:val="006F14F9"/>
    <w:rsid w:val="006F3297"/>
    <w:rsid w:val="006F6E62"/>
    <w:rsid w:val="006F7FE6"/>
    <w:rsid w:val="0070254C"/>
    <w:rsid w:val="007173C8"/>
    <w:rsid w:val="00720542"/>
    <w:rsid w:val="007253C5"/>
    <w:rsid w:val="00725AB3"/>
    <w:rsid w:val="00730B41"/>
    <w:rsid w:val="007310AE"/>
    <w:rsid w:val="00734559"/>
    <w:rsid w:val="00740513"/>
    <w:rsid w:val="00742C8F"/>
    <w:rsid w:val="00742E63"/>
    <w:rsid w:val="00757BA9"/>
    <w:rsid w:val="007747D4"/>
    <w:rsid w:val="0078247B"/>
    <w:rsid w:val="00784D3B"/>
    <w:rsid w:val="00785F19"/>
    <w:rsid w:val="007923CB"/>
    <w:rsid w:val="007975F4"/>
    <w:rsid w:val="007B1DD7"/>
    <w:rsid w:val="007B774B"/>
    <w:rsid w:val="007D17AF"/>
    <w:rsid w:val="007D7B7C"/>
    <w:rsid w:val="007E4632"/>
    <w:rsid w:val="00815F21"/>
    <w:rsid w:val="0082185F"/>
    <w:rsid w:val="008304ED"/>
    <w:rsid w:val="008323E1"/>
    <w:rsid w:val="00844C76"/>
    <w:rsid w:val="00844D4B"/>
    <w:rsid w:val="00855088"/>
    <w:rsid w:val="00856114"/>
    <w:rsid w:val="00856948"/>
    <w:rsid w:val="00861F8F"/>
    <w:rsid w:val="0086589A"/>
    <w:rsid w:val="00866FBB"/>
    <w:rsid w:val="00867AFF"/>
    <w:rsid w:val="00876E94"/>
    <w:rsid w:val="00892338"/>
    <w:rsid w:val="0089417A"/>
    <w:rsid w:val="008A1F2A"/>
    <w:rsid w:val="008A4ACB"/>
    <w:rsid w:val="008B6342"/>
    <w:rsid w:val="008C39F3"/>
    <w:rsid w:val="008E185A"/>
    <w:rsid w:val="008E5DEB"/>
    <w:rsid w:val="008F2339"/>
    <w:rsid w:val="008F5AFC"/>
    <w:rsid w:val="00912CC9"/>
    <w:rsid w:val="00912EE1"/>
    <w:rsid w:val="009245BF"/>
    <w:rsid w:val="009254F1"/>
    <w:rsid w:val="00932CCD"/>
    <w:rsid w:val="00940C2C"/>
    <w:rsid w:val="00942600"/>
    <w:rsid w:val="0094635B"/>
    <w:rsid w:val="00954345"/>
    <w:rsid w:val="00961444"/>
    <w:rsid w:val="00975F60"/>
    <w:rsid w:val="0098109F"/>
    <w:rsid w:val="0098278A"/>
    <w:rsid w:val="0098452F"/>
    <w:rsid w:val="009939F1"/>
    <w:rsid w:val="009A2365"/>
    <w:rsid w:val="009B4507"/>
    <w:rsid w:val="009B5A14"/>
    <w:rsid w:val="009B7BA3"/>
    <w:rsid w:val="009C4A32"/>
    <w:rsid w:val="009D37C5"/>
    <w:rsid w:val="009D5416"/>
    <w:rsid w:val="009E5A57"/>
    <w:rsid w:val="009F2682"/>
    <w:rsid w:val="009F46E6"/>
    <w:rsid w:val="00A03E09"/>
    <w:rsid w:val="00A07C65"/>
    <w:rsid w:val="00A2031C"/>
    <w:rsid w:val="00A20E52"/>
    <w:rsid w:val="00A22C38"/>
    <w:rsid w:val="00A31A36"/>
    <w:rsid w:val="00A501CC"/>
    <w:rsid w:val="00A54998"/>
    <w:rsid w:val="00A7098D"/>
    <w:rsid w:val="00A77D51"/>
    <w:rsid w:val="00A90301"/>
    <w:rsid w:val="00AB7D3B"/>
    <w:rsid w:val="00AD1843"/>
    <w:rsid w:val="00AD6D1B"/>
    <w:rsid w:val="00AE00B5"/>
    <w:rsid w:val="00AE335B"/>
    <w:rsid w:val="00AF11B8"/>
    <w:rsid w:val="00B20478"/>
    <w:rsid w:val="00B26C38"/>
    <w:rsid w:val="00B33D63"/>
    <w:rsid w:val="00B456F6"/>
    <w:rsid w:val="00B53321"/>
    <w:rsid w:val="00B565AA"/>
    <w:rsid w:val="00B72E58"/>
    <w:rsid w:val="00B80303"/>
    <w:rsid w:val="00B836D3"/>
    <w:rsid w:val="00B910E8"/>
    <w:rsid w:val="00BA49A5"/>
    <w:rsid w:val="00BA610C"/>
    <w:rsid w:val="00BB0E8B"/>
    <w:rsid w:val="00BB48DE"/>
    <w:rsid w:val="00BC0BD7"/>
    <w:rsid w:val="00BC1399"/>
    <w:rsid w:val="00BC15D1"/>
    <w:rsid w:val="00BC22C2"/>
    <w:rsid w:val="00BC5650"/>
    <w:rsid w:val="00BE0CA7"/>
    <w:rsid w:val="00BE5A2E"/>
    <w:rsid w:val="00BF2D45"/>
    <w:rsid w:val="00BF48DC"/>
    <w:rsid w:val="00C078A9"/>
    <w:rsid w:val="00C07FAA"/>
    <w:rsid w:val="00C148C4"/>
    <w:rsid w:val="00C16FA0"/>
    <w:rsid w:val="00C21F91"/>
    <w:rsid w:val="00C23575"/>
    <w:rsid w:val="00C40CE5"/>
    <w:rsid w:val="00C416E3"/>
    <w:rsid w:val="00C43D64"/>
    <w:rsid w:val="00C471F2"/>
    <w:rsid w:val="00C50119"/>
    <w:rsid w:val="00C50604"/>
    <w:rsid w:val="00C52A4B"/>
    <w:rsid w:val="00C53076"/>
    <w:rsid w:val="00C53841"/>
    <w:rsid w:val="00C54E2B"/>
    <w:rsid w:val="00C56949"/>
    <w:rsid w:val="00C569A0"/>
    <w:rsid w:val="00C602B0"/>
    <w:rsid w:val="00C6409E"/>
    <w:rsid w:val="00C71157"/>
    <w:rsid w:val="00C80993"/>
    <w:rsid w:val="00CB3862"/>
    <w:rsid w:val="00CC16F5"/>
    <w:rsid w:val="00CC66BE"/>
    <w:rsid w:val="00CC6F73"/>
    <w:rsid w:val="00CD7B0A"/>
    <w:rsid w:val="00CE129A"/>
    <w:rsid w:val="00CE3327"/>
    <w:rsid w:val="00CF7612"/>
    <w:rsid w:val="00D11BC8"/>
    <w:rsid w:val="00D139F7"/>
    <w:rsid w:val="00D177AA"/>
    <w:rsid w:val="00D17D71"/>
    <w:rsid w:val="00D23925"/>
    <w:rsid w:val="00D32291"/>
    <w:rsid w:val="00D35C55"/>
    <w:rsid w:val="00D35F3F"/>
    <w:rsid w:val="00D40369"/>
    <w:rsid w:val="00D4351C"/>
    <w:rsid w:val="00D5491B"/>
    <w:rsid w:val="00D74770"/>
    <w:rsid w:val="00D85594"/>
    <w:rsid w:val="00D87228"/>
    <w:rsid w:val="00DB155D"/>
    <w:rsid w:val="00DC1996"/>
    <w:rsid w:val="00DC308D"/>
    <w:rsid w:val="00DD1F84"/>
    <w:rsid w:val="00DD45E7"/>
    <w:rsid w:val="00DE4D94"/>
    <w:rsid w:val="00E1742E"/>
    <w:rsid w:val="00E2096B"/>
    <w:rsid w:val="00E2429B"/>
    <w:rsid w:val="00E41470"/>
    <w:rsid w:val="00E41ABC"/>
    <w:rsid w:val="00E42A4C"/>
    <w:rsid w:val="00E5183B"/>
    <w:rsid w:val="00E54A86"/>
    <w:rsid w:val="00E54E7C"/>
    <w:rsid w:val="00E67720"/>
    <w:rsid w:val="00E90469"/>
    <w:rsid w:val="00EA4DE1"/>
    <w:rsid w:val="00EA6035"/>
    <w:rsid w:val="00EC1A8A"/>
    <w:rsid w:val="00ED063C"/>
    <w:rsid w:val="00EE1D77"/>
    <w:rsid w:val="00EE2504"/>
    <w:rsid w:val="00EF365B"/>
    <w:rsid w:val="00EF4F1D"/>
    <w:rsid w:val="00EF7496"/>
    <w:rsid w:val="00F03566"/>
    <w:rsid w:val="00F047DF"/>
    <w:rsid w:val="00F14A63"/>
    <w:rsid w:val="00F24BF6"/>
    <w:rsid w:val="00F25610"/>
    <w:rsid w:val="00F25E86"/>
    <w:rsid w:val="00F26FEC"/>
    <w:rsid w:val="00F272C6"/>
    <w:rsid w:val="00F55E25"/>
    <w:rsid w:val="00F90062"/>
    <w:rsid w:val="00FA28C8"/>
    <w:rsid w:val="00FA6D51"/>
    <w:rsid w:val="00FB3039"/>
    <w:rsid w:val="00FC3B2F"/>
    <w:rsid w:val="00FD2DD6"/>
    <w:rsid w:val="00FF03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D83AC"/>
  <w15:chartTrackingRefBased/>
  <w15:docId w15:val="{C75BC6AC-D470-4135-97E8-688C669C9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EB1"/>
    <w:pPr>
      <w:spacing w:after="120"/>
    </w:pPr>
    <w:rPr>
      <w:rFonts w:ascii="Arial" w:hAnsi="Arial"/>
      <w:sz w:val="24"/>
    </w:rPr>
  </w:style>
  <w:style w:type="paragraph" w:styleId="Heading1">
    <w:name w:val="heading 1"/>
    <w:basedOn w:val="Normal"/>
    <w:next w:val="Normal"/>
    <w:link w:val="Heading1Char"/>
    <w:uiPriority w:val="9"/>
    <w:qFormat/>
    <w:rsid w:val="00120EB1"/>
    <w:pPr>
      <w:keepNext/>
      <w:keepLines/>
      <w:numPr>
        <w:numId w:val="1"/>
      </w:numPr>
      <w:spacing w:before="240"/>
      <w:outlineLvl w:val="0"/>
    </w:pPr>
    <w:rPr>
      <w:rFonts w:eastAsiaTheme="majorEastAsia" w:cstheme="majorBidi"/>
      <w:b/>
      <w:color w:val="1F3864" w:themeColor="accent5" w:themeShade="80"/>
      <w:sz w:val="32"/>
      <w:szCs w:val="32"/>
    </w:rPr>
  </w:style>
  <w:style w:type="paragraph" w:styleId="Heading2">
    <w:name w:val="heading 2"/>
    <w:basedOn w:val="Normal"/>
    <w:next w:val="Normal"/>
    <w:link w:val="Heading2Char"/>
    <w:uiPriority w:val="9"/>
    <w:unhideWhenUsed/>
    <w:qFormat/>
    <w:rsid w:val="00120EB1"/>
    <w:pPr>
      <w:keepNext/>
      <w:keepLines/>
      <w:numPr>
        <w:ilvl w:val="1"/>
        <w:numId w:val="1"/>
      </w:numPr>
      <w:spacing w:before="40"/>
      <w:outlineLvl w:val="1"/>
    </w:pPr>
    <w:rPr>
      <w:rFonts w:eastAsiaTheme="majorEastAsia" w:cstheme="majorBidi"/>
      <w:b/>
      <w:color w:val="1F3864" w:themeColor="accent5" w:themeShade="80"/>
      <w:sz w:val="26"/>
      <w:szCs w:val="26"/>
    </w:rPr>
  </w:style>
  <w:style w:type="paragraph" w:styleId="Heading3">
    <w:name w:val="heading 3"/>
    <w:basedOn w:val="Normal"/>
    <w:next w:val="Normal"/>
    <w:link w:val="Heading3Char"/>
    <w:uiPriority w:val="9"/>
    <w:unhideWhenUsed/>
    <w:qFormat/>
    <w:rsid w:val="00120EB1"/>
    <w:pPr>
      <w:keepNext/>
      <w:keepLines/>
      <w:numPr>
        <w:ilvl w:val="2"/>
        <w:numId w:val="1"/>
      </w:numPr>
      <w:spacing w:before="40" w:after="0"/>
      <w:outlineLvl w:val="2"/>
    </w:pPr>
    <w:rPr>
      <w:rFonts w:eastAsiaTheme="majorEastAsia" w:cstheme="majorBidi"/>
      <w:b/>
      <w:color w:val="1F3864" w:themeColor="accent5" w:themeShade="80"/>
      <w:szCs w:val="24"/>
    </w:rPr>
  </w:style>
  <w:style w:type="paragraph" w:styleId="Heading4">
    <w:name w:val="heading 4"/>
    <w:basedOn w:val="Normal"/>
    <w:next w:val="Normal"/>
    <w:link w:val="Heading4Char"/>
    <w:uiPriority w:val="9"/>
    <w:unhideWhenUsed/>
    <w:qFormat/>
    <w:rsid w:val="00C6409E"/>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6409E"/>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6409E"/>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6409E"/>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6409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6409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0EB1"/>
    <w:pPr>
      <w:spacing w:after="0" w:line="240" w:lineRule="auto"/>
      <w:contextualSpacing/>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120EB1"/>
    <w:rPr>
      <w:rFonts w:ascii="Arial" w:eastAsiaTheme="majorEastAsia" w:hAnsi="Arial" w:cstheme="majorBidi"/>
      <w:b/>
      <w:spacing w:val="-10"/>
      <w:kern w:val="28"/>
      <w:sz w:val="40"/>
      <w:szCs w:val="56"/>
    </w:rPr>
  </w:style>
  <w:style w:type="character" w:customStyle="1" w:styleId="Heading1Char">
    <w:name w:val="Heading 1 Char"/>
    <w:basedOn w:val="DefaultParagraphFont"/>
    <w:link w:val="Heading1"/>
    <w:uiPriority w:val="9"/>
    <w:rsid w:val="00120EB1"/>
    <w:rPr>
      <w:rFonts w:ascii="Arial" w:eastAsiaTheme="majorEastAsia" w:hAnsi="Arial" w:cstheme="majorBidi"/>
      <w:b/>
      <w:color w:val="1F3864" w:themeColor="accent5" w:themeShade="80"/>
      <w:sz w:val="32"/>
      <w:szCs w:val="32"/>
    </w:rPr>
  </w:style>
  <w:style w:type="paragraph" w:styleId="ListParagraph">
    <w:name w:val="List Paragraph"/>
    <w:basedOn w:val="Normal"/>
    <w:link w:val="ListParagraphChar"/>
    <w:uiPriority w:val="34"/>
    <w:qFormat/>
    <w:rsid w:val="005A4459"/>
    <w:pPr>
      <w:ind w:left="720"/>
      <w:contextualSpacing/>
    </w:pPr>
  </w:style>
  <w:style w:type="character" w:customStyle="1" w:styleId="Heading2Char">
    <w:name w:val="Heading 2 Char"/>
    <w:basedOn w:val="DefaultParagraphFont"/>
    <w:link w:val="Heading2"/>
    <w:uiPriority w:val="9"/>
    <w:rsid w:val="00120EB1"/>
    <w:rPr>
      <w:rFonts w:ascii="Arial" w:eastAsiaTheme="majorEastAsia" w:hAnsi="Arial" w:cstheme="majorBidi"/>
      <w:b/>
      <w:color w:val="1F3864" w:themeColor="accent5" w:themeShade="80"/>
      <w:sz w:val="26"/>
      <w:szCs w:val="26"/>
    </w:rPr>
  </w:style>
  <w:style w:type="character" w:customStyle="1" w:styleId="Heading3Char">
    <w:name w:val="Heading 3 Char"/>
    <w:basedOn w:val="DefaultParagraphFont"/>
    <w:link w:val="Heading3"/>
    <w:uiPriority w:val="9"/>
    <w:rsid w:val="00120EB1"/>
    <w:rPr>
      <w:rFonts w:ascii="Arial" w:eastAsiaTheme="majorEastAsia" w:hAnsi="Arial" w:cstheme="majorBidi"/>
      <w:b/>
      <w:color w:val="1F3864" w:themeColor="accent5" w:themeShade="80"/>
      <w:sz w:val="24"/>
      <w:szCs w:val="24"/>
    </w:rPr>
  </w:style>
  <w:style w:type="character" w:customStyle="1" w:styleId="Heading4Char">
    <w:name w:val="Heading 4 Char"/>
    <w:basedOn w:val="DefaultParagraphFont"/>
    <w:link w:val="Heading4"/>
    <w:uiPriority w:val="9"/>
    <w:rsid w:val="00C6409E"/>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C6409E"/>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C6409E"/>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C6409E"/>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C6409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6409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8C39F3"/>
    <w:rPr>
      <w:color w:val="0563C1"/>
      <w:u w:val="single"/>
    </w:rPr>
  </w:style>
  <w:style w:type="table" w:styleId="TableGrid">
    <w:name w:val="Table Grid"/>
    <w:basedOn w:val="TableNormal"/>
    <w:rsid w:val="008C3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8C39F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2C5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652"/>
  </w:style>
  <w:style w:type="paragraph" w:styleId="Footer">
    <w:name w:val="footer"/>
    <w:basedOn w:val="Normal"/>
    <w:link w:val="FooterChar"/>
    <w:uiPriority w:val="99"/>
    <w:unhideWhenUsed/>
    <w:rsid w:val="002C5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652"/>
  </w:style>
  <w:style w:type="character" w:styleId="CommentReference">
    <w:name w:val="annotation reference"/>
    <w:basedOn w:val="DefaultParagraphFont"/>
    <w:uiPriority w:val="99"/>
    <w:semiHidden/>
    <w:unhideWhenUsed/>
    <w:rsid w:val="00147AEC"/>
    <w:rPr>
      <w:sz w:val="16"/>
      <w:szCs w:val="16"/>
    </w:rPr>
  </w:style>
  <w:style w:type="paragraph" w:styleId="CommentText">
    <w:name w:val="annotation text"/>
    <w:basedOn w:val="Normal"/>
    <w:link w:val="CommentTextChar"/>
    <w:uiPriority w:val="99"/>
    <w:unhideWhenUsed/>
    <w:rsid w:val="00147AEC"/>
    <w:pPr>
      <w:spacing w:line="240" w:lineRule="auto"/>
    </w:pPr>
    <w:rPr>
      <w:sz w:val="20"/>
      <w:szCs w:val="20"/>
    </w:rPr>
  </w:style>
  <w:style w:type="character" w:customStyle="1" w:styleId="CommentTextChar">
    <w:name w:val="Comment Text Char"/>
    <w:basedOn w:val="DefaultParagraphFont"/>
    <w:link w:val="CommentText"/>
    <w:uiPriority w:val="99"/>
    <w:rsid w:val="00147AEC"/>
    <w:rPr>
      <w:sz w:val="20"/>
      <w:szCs w:val="20"/>
    </w:rPr>
  </w:style>
  <w:style w:type="paragraph" w:styleId="CommentSubject">
    <w:name w:val="annotation subject"/>
    <w:basedOn w:val="CommentText"/>
    <w:next w:val="CommentText"/>
    <w:link w:val="CommentSubjectChar"/>
    <w:uiPriority w:val="99"/>
    <w:semiHidden/>
    <w:unhideWhenUsed/>
    <w:rsid w:val="00147AEC"/>
    <w:rPr>
      <w:b/>
      <w:bCs/>
    </w:rPr>
  </w:style>
  <w:style w:type="character" w:customStyle="1" w:styleId="CommentSubjectChar">
    <w:name w:val="Comment Subject Char"/>
    <w:basedOn w:val="CommentTextChar"/>
    <w:link w:val="CommentSubject"/>
    <w:uiPriority w:val="99"/>
    <w:semiHidden/>
    <w:rsid w:val="00147AEC"/>
    <w:rPr>
      <w:b/>
      <w:bCs/>
      <w:sz w:val="20"/>
      <w:szCs w:val="20"/>
    </w:rPr>
  </w:style>
  <w:style w:type="paragraph" w:styleId="BalloonText">
    <w:name w:val="Balloon Text"/>
    <w:basedOn w:val="Normal"/>
    <w:link w:val="BalloonTextChar"/>
    <w:uiPriority w:val="99"/>
    <w:semiHidden/>
    <w:unhideWhenUsed/>
    <w:rsid w:val="00147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EC"/>
    <w:rPr>
      <w:rFonts w:ascii="Segoe UI" w:hAnsi="Segoe UI" w:cs="Segoe UI"/>
      <w:sz w:val="18"/>
      <w:szCs w:val="18"/>
    </w:rPr>
  </w:style>
  <w:style w:type="table" w:customStyle="1" w:styleId="TableGrid1">
    <w:name w:val="Table Grid1"/>
    <w:basedOn w:val="TableNormal"/>
    <w:next w:val="TableGrid"/>
    <w:rsid w:val="00250097"/>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a">
    <w:name w:val="Heading 2a"/>
    <w:basedOn w:val="Heading1"/>
    <w:qFormat/>
    <w:rsid w:val="00120EB1"/>
    <w:pPr>
      <w:keepLines w:val="0"/>
      <w:numPr>
        <w:ilvl w:val="1"/>
        <w:numId w:val="3"/>
      </w:numPr>
      <w:spacing w:after="60" w:line="240" w:lineRule="auto"/>
    </w:pPr>
    <w:rPr>
      <w:rFonts w:eastAsia="Times New Roman" w:cs="Times New Roman"/>
      <w:b w:val="0"/>
      <w:bCs/>
      <w:color w:val="auto"/>
      <w:kern w:val="32"/>
      <w:sz w:val="28"/>
      <w:lang w:eastAsia="ja-JP"/>
    </w:rPr>
  </w:style>
  <w:style w:type="character" w:customStyle="1" w:styleId="ListParagraphChar">
    <w:name w:val="List Paragraph Char"/>
    <w:basedOn w:val="DefaultParagraphFont"/>
    <w:link w:val="ListParagraph"/>
    <w:uiPriority w:val="34"/>
    <w:locked/>
    <w:rsid w:val="00975F60"/>
  </w:style>
  <w:style w:type="character" w:customStyle="1" w:styleId="xbe">
    <w:name w:val="_xbe"/>
    <w:rsid w:val="00D139F7"/>
  </w:style>
  <w:style w:type="paragraph" w:styleId="FootnoteText">
    <w:name w:val="footnote text"/>
    <w:basedOn w:val="Normal"/>
    <w:link w:val="FootnoteTextChar"/>
    <w:uiPriority w:val="99"/>
    <w:semiHidden/>
    <w:unhideWhenUsed/>
    <w:rsid w:val="00A203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031C"/>
    <w:rPr>
      <w:sz w:val="20"/>
      <w:szCs w:val="20"/>
    </w:rPr>
  </w:style>
  <w:style w:type="character" w:styleId="FootnoteReference">
    <w:name w:val="footnote reference"/>
    <w:basedOn w:val="DefaultParagraphFont"/>
    <w:uiPriority w:val="99"/>
    <w:semiHidden/>
    <w:unhideWhenUsed/>
    <w:rsid w:val="00A2031C"/>
    <w:rPr>
      <w:vertAlign w:val="superscript"/>
    </w:rPr>
  </w:style>
  <w:style w:type="paragraph" w:customStyle="1" w:styleId="Default">
    <w:name w:val="Default"/>
    <w:rsid w:val="0086589A"/>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uiPriority w:val="35"/>
    <w:unhideWhenUsed/>
    <w:qFormat/>
    <w:rsid w:val="000F3774"/>
    <w:pPr>
      <w:spacing w:after="200" w:line="240" w:lineRule="auto"/>
    </w:pPr>
    <w:rPr>
      <w:b/>
      <w:iCs/>
      <w:color w:val="44546A" w:themeColor="text2"/>
      <w:szCs w:val="18"/>
    </w:rPr>
  </w:style>
  <w:style w:type="character" w:styleId="SubtleEmphasis">
    <w:name w:val="Subtle Emphasis"/>
    <w:basedOn w:val="DefaultParagraphFont"/>
    <w:uiPriority w:val="19"/>
    <w:qFormat/>
    <w:rsid w:val="000F3774"/>
    <w:rPr>
      <w:b/>
      <w:i w:val="0"/>
      <w:iCs/>
      <w:color w:val="404040" w:themeColor="text1" w:themeTint="BF"/>
      <w:sz w:val="24"/>
    </w:rPr>
  </w:style>
  <w:style w:type="paragraph" w:styleId="NoSpacing">
    <w:name w:val="No Spacing"/>
    <w:uiPriority w:val="1"/>
    <w:qFormat/>
    <w:rsid w:val="00120EB1"/>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BC5650"/>
    <w:rPr>
      <w:color w:val="605E5C"/>
      <w:shd w:val="clear" w:color="auto" w:fill="E1DFDD"/>
    </w:rPr>
  </w:style>
  <w:style w:type="character" w:styleId="FollowedHyperlink">
    <w:name w:val="FollowedHyperlink"/>
    <w:basedOn w:val="DefaultParagraphFont"/>
    <w:uiPriority w:val="99"/>
    <w:semiHidden/>
    <w:unhideWhenUsed/>
    <w:rsid w:val="00C569A0"/>
    <w:rPr>
      <w:color w:val="954F72" w:themeColor="followedHyperlink"/>
      <w:u w:val="single"/>
    </w:rPr>
  </w:style>
  <w:style w:type="paragraph" w:styleId="Revision">
    <w:name w:val="Revision"/>
    <w:hidden/>
    <w:uiPriority w:val="99"/>
    <w:semiHidden/>
    <w:rsid w:val="00BC22C2"/>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541466">
      <w:bodyDiv w:val="1"/>
      <w:marLeft w:val="0"/>
      <w:marRight w:val="0"/>
      <w:marTop w:val="0"/>
      <w:marBottom w:val="0"/>
      <w:divBdr>
        <w:top w:val="none" w:sz="0" w:space="0" w:color="auto"/>
        <w:left w:val="none" w:sz="0" w:space="0" w:color="auto"/>
        <w:bottom w:val="none" w:sz="0" w:space="0" w:color="auto"/>
        <w:right w:val="none" w:sz="0" w:space="0" w:color="auto"/>
      </w:divBdr>
    </w:div>
    <w:div w:id="148173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states-Waste@swansea.ac.uk"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jects@unigreenscheme.co.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tates-waste@swansea.ac.uk" TargetMode="External"/><Relationship Id="rId5" Type="http://schemas.openxmlformats.org/officeDocument/2006/relationships/webSettings" Target="webSettings.xml"/><Relationship Id="rId15" Type="http://schemas.openxmlformats.org/officeDocument/2006/relationships/hyperlink" Target="mailto:Estates-Waste@swansea.ac.uk" TargetMode="External"/><Relationship Id="rId10" Type="http://schemas.openxmlformats.org/officeDocument/2006/relationships/hyperlink" Target="mailto:estates-waste@swansea.ac.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igreenscheme.co.uk/" TargetMode="Externa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unigreenschem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D08C9-F341-4C08-AD72-10F0C01C5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10</Pages>
  <Words>2215</Words>
  <Characters>12631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14817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Beharrell Hayley.</dc:creator>
  <cp:keywords/>
  <dc:description/>
  <cp:lastModifiedBy>Ben Harris</cp:lastModifiedBy>
  <cp:revision>8</cp:revision>
  <cp:lastPrinted>2019-11-01T09:40:00Z</cp:lastPrinted>
  <dcterms:created xsi:type="dcterms:W3CDTF">2025-10-30T11:54:00Z</dcterms:created>
  <dcterms:modified xsi:type="dcterms:W3CDTF">2025-12-11T13:14:00Z</dcterms:modified>
</cp:coreProperties>
</file>